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MA678-Data Collection Exercise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Objective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 xml:space="preserve">ould like to compare the relationship between the frequency of drinking milk a week and some factors such as gender, whether to drink skim milk and so on.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tabs>
          <w:tab w:val="left" w:pos="2770"/>
        </w:tabs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Methods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 use a 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 xml:space="preserve">lectronic questionnaire </w:t>
      </w:r>
      <w:r>
        <w:rPr>
          <w:rFonts w:hint="eastAsia"/>
          <w:lang w:val="en-US" w:eastAsia="zh-Hans"/>
        </w:rPr>
        <w:t>cal</w:t>
      </w:r>
      <w:r>
        <w:rPr>
          <w:rFonts w:hint="default"/>
          <w:lang w:eastAsia="zh-Hans"/>
        </w:rPr>
        <w:t xml:space="preserve">led ‘Questionnaire Star’ and </w:t>
      </w:r>
      <w:r>
        <w:rPr>
          <w:rFonts w:hint="eastAsia"/>
          <w:lang w:val="en-US" w:eastAsia="zh-Hans"/>
        </w:rPr>
        <w:t>design</w:t>
      </w:r>
      <w:r>
        <w:rPr>
          <w:rFonts w:hint="default"/>
          <w:lang w:eastAsia="zh-Hans"/>
        </w:rPr>
        <w:t xml:space="preserve"> several questions concerning that.</w:t>
      </w:r>
      <w:r>
        <w:rPr>
          <w:rFonts w:hint="default"/>
          <w:lang w:eastAsia="zh-Hans"/>
        </w:rPr>
        <w:t xml:space="preserve"> And my </w:t>
      </w:r>
      <w:r>
        <w:rPr>
          <w:rFonts w:hint="default"/>
          <w:lang w:eastAsia="zh-Hans"/>
        </w:rPr>
        <w:t>questionnaire</w:t>
      </w:r>
      <w:r>
        <w:rPr>
          <w:rFonts w:hint="default"/>
          <w:lang w:eastAsia="zh-Hans"/>
        </w:rPr>
        <w:t xml:space="preserve"> is below.</w:t>
      </w:r>
    </w:p>
    <w:p>
      <w:pPr>
        <w:widowControl w:val="0"/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2422525" cy="8851265"/>
            <wp:effectExtent l="0" t="0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885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tabs>
          <w:tab w:val="left" w:pos="2770"/>
        </w:tabs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tabs>
          <w:tab w:val="left" w:pos="2770"/>
        </w:tabs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Interpreting original data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‘frequency’: how many times a week of drinking milk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‘gender’: 1 represents male and 2 represents female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‘skim’: whether drinking skim milk, 1 represents yes and 2 represents no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‘weight’: person’s weight in kg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‘cost’: the cost of drinking of milk at a time in yuan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‘quantity’: the number of milliliters of milk you drink at one time</w:t>
      </w:r>
    </w:p>
    <w:p>
      <w:pPr>
        <w:numPr>
          <w:ilvl w:val="0"/>
          <w:numId w:val="0"/>
        </w:numPr>
        <w:tabs>
          <w:tab w:val="left" w:pos="2770"/>
        </w:tabs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Thoughts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electronic questionnaire decrease the the cost (time and effort) associated with each data point because I just need send the questionnaire to different Wechat groups. Besides, anonymous questionnaire without face-to-face can avoid some </w:t>
      </w:r>
      <w:r>
        <w:rPr>
          <w:rFonts w:hint="eastAsia"/>
          <w:lang w:val="en-US" w:eastAsia="zh-Hans"/>
        </w:rPr>
        <w:t>inaccuracy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when</w:t>
      </w:r>
      <w:r>
        <w:rPr>
          <w:rFonts w:hint="default"/>
          <w:lang w:eastAsia="zh-Hans"/>
        </w:rPr>
        <w:t xml:space="preserve"> asking some </w:t>
      </w:r>
      <w:r>
        <w:rPr>
          <w:rFonts w:hint="eastAsia"/>
          <w:lang w:val="en-US" w:eastAsia="zh-Hans"/>
        </w:rPr>
        <w:t>private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embarrassing topic</w:t>
      </w:r>
      <w:r>
        <w:rPr>
          <w:rFonts w:hint="default"/>
          <w:lang w:eastAsia="zh-Hans"/>
        </w:rPr>
        <w:t>s such as weight.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MRoman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 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6FCB"/>
    <w:multiLevelType w:val="multilevel"/>
    <w:tmpl w:val="5F976FC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F1838"/>
    <w:rsid w:val="09BF1838"/>
    <w:rsid w:val="BEEC9687"/>
    <w:rsid w:val="E3FB4FBC"/>
    <w:rsid w:val="E8E5D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2020-10-27T16:47:00Z</dcterms:created>
  <dc:creator>chenxunli</dc:creator>
  <cp:lastModifiedBy>chenxunli</cp:lastModifiedBy>
  <dcterms:modified xsi:type="dcterms:W3CDTF">2020-10-27T10:00:14Z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