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Ind w:w="100.0" w:type="pct"/>
        <w:tblLayout w:type="fixed"/>
        <w:tblLook w:val="0600"/>
      </w:tblPr>
      <w:tblGrid>
        <w:gridCol w:w="1335"/>
        <w:gridCol w:w="7545"/>
        <w:tblGridChange w:id="0">
          <w:tblGrid>
            <w:gridCol w:w="1335"/>
            <w:gridCol w:w="7545"/>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Mijente &amp; ACLU Mass - Police in Massachusetts state politics</w:t>
            </w:r>
          </w:p>
        </w:tc>
      </w:tr>
      <w:tr>
        <w:trPr>
          <w:trHeight w:val="10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Rodrigues - Mijente</w:t>
            </w:r>
          </w:p>
          <w:p w:rsidR="00000000" w:rsidDel="00000000" w:rsidP="00000000" w:rsidRDefault="00000000" w:rsidRPr="00000000" w14:paraId="00000006">
            <w:pPr>
              <w:spacing w:line="331.2"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jon.rodrigues23@gmail.com</w:t>
              </w:r>
            </w:hyperlink>
            <w:r w:rsidDel="00000000" w:rsidR="00000000" w:rsidRPr="00000000">
              <w:rPr>
                <w:rtl w:val="0"/>
              </w:rPr>
            </w:r>
          </w:p>
          <w:p w:rsidR="00000000" w:rsidDel="00000000" w:rsidP="00000000" w:rsidRDefault="00000000" w:rsidRPr="00000000" w14:paraId="00000007">
            <w:pPr>
              <w:spacing w:line="3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Lauren Chambers - ACLU Mass</w:t>
            </w:r>
          </w:p>
          <w:p w:rsidR="00000000" w:rsidDel="00000000" w:rsidP="00000000" w:rsidRDefault="00000000" w:rsidRPr="00000000" w14:paraId="00000009">
            <w:pPr>
              <w:spacing w:line="331.2"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LChambers@aclum.org</w:t>
              </w:r>
            </w:hyperlink>
            <w:r w:rsidDel="00000000" w:rsidR="00000000" w:rsidRPr="00000000">
              <w:rPr>
                <w:rFonts w:ascii="Times New Roman" w:cs="Times New Roman" w:eastAsia="Times New Roman" w:hAnsi="Times New Roman"/>
                <w:sz w:val="20"/>
                <w:szCs w:val="20"/>
                <w:rtl w:val="0"/>
              </w:rPr>
              <w:t xml:space="preserve"> </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Mijente [and ACLU Mass]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Mijente is a political home for Latinx and Chicanx people who seek racial, economic, gender and climate justice.</w:t>
            </w:r>
          </w:p>
          <w:p w:rsidR="00000000" w:rsidDel="00000000" w:rsidP="00000000" w:rsidRDefault="00000000" w:rsidRPr="00000000" w14:paraId="0000000E">
            <w:pPr>
              <w:spacing w:line="3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American Civil Liberties Union (ACLU) of Massachusetts is a state affiliate of the national ACLU. A private, nonpartisan organization with more than 82,000 supporters across the Commonwealth and over 100,000 online activists, we defend the principles enshrined in the Massachusetts Declaration of Rights, as well as the U.S. Constitution and Bill of Rights.</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Collecting financial contributions of police officers and police affiliated unions to Massachusetts state level politicians and non-Boston mayors and city councilors to study the influence of police in MA politics. The political contributions data will be sourced from the state OCPF data and police will be separated out using their Occupation and Employer fields. We will summarize top donors, top recipients, and leaders of legislative committees as visualizations - bar charts, heat maps, etc. </w:t>
            </w:r>
          </w:p>
          <w:p w:rsidR="00000000" w:rsidDel="00000000" w:rsidP="00000000" w:rsidRDefault="00000000" w:rsidRPr="00000000" w14:paraId="00000014">
            <w:pPr>
              <w:spacing w:line="331.2"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15">
            <w:pPr>
              <w:spacing w:line="331.2"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The second part of the analysis will involve comparing plurality People of color* cities in MA using census tract data on demographics and examining the police contributions to their mayors and city councilors. Across MA cities we want to specifically compare police department donations per capita calculated as the number of contributions divided by the total officers in that department.</w:t>
            </w:r>
          </w:p>
          <w:p w:rsidR="00000000" w:rsidDel="00000000" w:rsidP="00000000" w:rsidRDefault="00000000" w:rsidRPr="00000000" w14:paraId="00000016">
            <w:pPr>
              <w:spacing w:line="331.2"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17">
            <w:pPr>
              <w:spacing w:line="331.2" w:lineRule="auto"/>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sz w:val="20"/>
                <w:szCs w:val="20"/>
                <w:highlight w:val="yellow"/>
                <w:rtl w:val="0"/>
              </w:rPr>
              <w:t xml:space="preserve">* People of color include any non white race categorization in the US Census. Hispanic, Asian, Black, Native American, Hawaiian/Pacific Islander, Mixed race, etc.</w:t>
            </w:r>
          </w:p>
        </w:tc>
      </w:tr>
      <w:tr>
        <w:trPr>
          <w:trHeight w:val="1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 include: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OCPF Campaign contributions</w:t>
              </w:r>
            </w:hyperlink>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0"/>
                <w:szCs w:val="20"/>
                <w:u w:val="none"/>
              </w:rPr>
            </w:pPr>
            <w:hyperlink r:id="rId9">
              <w:r w:rsidDel="00000000" w:rsidR="00000000" w:rsidRPr="00000000">
                <w:rPr>
                  <w:rFonts w:ascii="Times New Roman" w:cs="Times New Roman" w:eastAsia="Times New Roman" w:hAnsi="Times New Roman"/>
                  <w:color w:val="1155cc"/>
                  <w:sz w:val="20"/>
                  <w:szCs w:val="20"/>
                  <w:u w:val="single"/>
                  <w:rtl w:val="0"/>
                </w:rPr>
                <w:t xml:space="preserve">Current MA State Senators</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0"/>
                <w:szCs w:val="20"/>
                <w:u w:val="none"/>
              </w:rPr>
            </w:pPr>
            <w:hyperlink r:id="rId10">
              <w:r w:rsidDel="00000000" w:rsidR="00000000" w:rsidRPr="00000000">
                <w:rPr>
                  <w:rFonts w:ascii="Times New Roman" w:cs="Times New Roman" w:eastAsia="Times New Roman" w:hAnsi="Times New Roman"/>
                  <w:color w:val="1155cc"/>
                  <w:sz w:val="20"/>
                  <w:szCs w:val="20"/>
                  <w:u w:val="single"/>
                  <w:rtl w:val="0"/>
                </w:rPr>
                <w:t xml:space="preserve">Current MA House Representatives</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0"/>
                <w:szCs w:val="20"/>
                <w:u w:val="none"/>
              </w:rPr>
            </w:pPr>
            <w:hyperlink r:id="rId11">
              <w:r w:rsidDel="00000000" w:rsidR="00000000" w:rsidRPr="00000000">
                <w:rPr>
                  <w:rFonts w:ascii="Times New Roman" w:cs="Times New Roman" w:eastAsia="Times New Roman" w:hAnsi="Times New Roman"/>
                  <w:color w:val="1155cc"/>
                  <w:sz w:val="20"/>
                  <w:szCs w:val="20"/>
                  <w:u w:val="single"/>
                  <w:rtl w:val="0"/>
                </w:rPr>
                <w:t xml:space="preserve">Census tract data across MA </w:t>
              </w:r>
            </w:hyperlink>
            <w:r w:rsidDel="00000000" w:rsidR="00000000" w:rsidRPr="00000000">
              <w:rPr>
                <w:rFonts w:ascii="Times New Roman" w:cs="Times New Roman" w:eastAsia="Times New Roman" w:hAnsi="Times New Roman"/>
                <w:sz w:val="20"/>
                <w:szCs w:val="20"/>
                <w:u w:val="single"/>
                <w:rtl w:val="0"/>
              </w:rPr>
              <w:t xml:space="preserve">- needs to be collected from here for all of MA</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0"/>
                <w:szCs w:val="20"/>
                <w:u w:val="none"/>
              </w:rPr>
            </w:pPr>
            <w:hyperlink r:id="rId12">
              <w:r w:rsidDel="00000000" w:rsidR="00000000" w:rsidRPr="00000000">
                <w:rPr>
                  <w:rFonts w:ascii="Times New Roman" w:cs="Times New Roman" w:eastAsia="Times New Roman" w:hAnsi="Times New Roman"/>
                  <w:color w:val="1155cc"/>
                  <w:sz w:val="20"/>
                  <w:szCs w:val="20"/>
                  <w:u w:val="single"/>
                  <w:rtl w:val="0"/>
                </w:rPr>
                <w:t xml:space="preserve">CPF IDs of MA candidates and politicians</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Approach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one: </w:t>
            </w:r>
            <w:r w:rsidDel="00000000" w:rsidR="00000000" w:rsidRPr="00000000">
              <w:rPr>
                <w:rFonts w:ascii="Times New Roman" w:cs="Times New Roman" w:eastAsia="Times New Roman" w:hAnsi="Times New Roman"/>
                <w:sz w:val="20"/>
                <w:szCs w:val="20"/>
                <w:rtl w:val="0"/>
              </w:rPr>
              <w:t xml:space="preserve">Collect Census tract data across all MA counties and sort out plurality POC cities. Cities to be sorted out based off their definitions in relation to counties here: </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two: </w:t>
            </w:r>
            <w:r w:rsidDel="00000000" w:rsidR="00000000" w:rsidRPr="00000000">
              <w:rPr>
                <w:rFonts w:ascii="Times New Roman" w:cs="Times New Roman" w:eastAsia="Times New Roman" w:hAnsi="Times New Roman"/>
                <w:sz w:val="20"/>
                <w:szCs w:val="20"/>
                <w:rtl w:val="0"/>
              </w:rPr>
              <w:t xml:space="preserve">Filter out state executive office holders by their CPF IDs on the master OCPF dataset and combine this with the current state legislators and summarize their top donors, which of them were the top recipients of police contributions. Create visualizations from the summaries.</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three: </w:t>
            </w:r>
            <w:r w:rsidDel="00000000" w:rsidR="00000000" w:rsidRPr="00000000">
              <w:rPr>
                <w:rFonts w:ascii="Times New Roman" w:cs="Times New Roman" w:eastAsia="Times New Roman" w:hAnsi="Times New Roman"/>
                <w:sz w:val="20"/>
                <w:szCs w:val="20"/>
                <w:rtl w:val="0"/>
              </w:rPr>
              <w:t xml:space="preserve">Focus on committee leaders in the state legislature specifically the Judiciary, Public safety, and conference committee and how much their leaders and members received from police. Create visualizations of the summary here too.</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four: </w:t>
            </w:r>
            <w:r w:rsidDel="00000000" w:rsidR="00000000" w:rsidRPr="00000000">
              <w:rPr>
                <w:rFonts w:ascii="Times New Roman" w:cs="Times New Roman" w:eastAsia="Times New Roman" w:hAnsi="Times New Roman"/>
                <w:sz w:val="20"/>
                <w:szCs w:val="20"/>
                <w:rtl w:val="0"/>
              </w:rPr>
              <w:t xml:space="preserve">From the filtered plurality POC cities find their mayors and city councilors then examine police contributions to these political figures compared to white majority city mayors and council members.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five: </w:t>
            </w:r>
            <w:r w:rsidDel="00000000" w:rsidR="00000000" w:rsidRPr="00000000">
              <w:rPr>
                <w:rFonts w:ascii="Times New Roman" w:cs="Times New Roman" w:eastAsia="Times New Roman" w:hAnsi="Times New Roman"/>
                <w:sz w:val="20"/>
                <w:szCs w:val="20"/>
                <w:rtl w:val="0"/>
              </w:rPr>
              <w:t xml:space="preserve">Summarize the data from step four as a geographic visualization for total police contributions. Also make a geographic visualization comparing the police department donations per capita. </w:t>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be answered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0"/>
                <w:szCs w:val="20"/>
                <w:highlight w:val="yellow"/>
              </w:rPr>
            </w:pPr>
            <w:r w:rsidDel="00000000" w:rsidR="00000000" w:rsidRPr="00000000">
              <w:rPr>
                <w:rFonts w:ascii="Calibri" w:cs="Calibri" w:eastAsia="Calibri" w:hAnsi="Calibri"/>
                <w:sz w:val="20"/>
                <w:szCs w:val="20"/>
                <w:highlight w:val="yellow"/>
                <w:rtl w:val="0"/>
              </w:rPr>
              <w:t xml:space="preserve">After identifying the plurality POC cities, are there any statistically significant differences amongst those cities’ city office holders and those of white majority cities in police donations?</w:t>
            </w:r>
          </w:p>
          <w:p w:rsidR="00000000" w:rsidDel="00000000" w:rsidP="00000000" w:rsidRDefault="00000000" w:rsidRPr="00000000" w14:paraId="00000032">
            <w:pPr>
              <w:numPr>
                <w:ilvl w:val="0"/>
                <w:numId w:val="2"/>
              </w:numPr>
              <w:ind w:left="720" w:hanging="360"/>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Who are the top donors to state level officials and city officials across MA?</w:t>
            </w:r>
          </w:p>
          <w:p w:rsidR="00000000" w:rsidDel="00000000" w:rsidP="00000000" w:rsidRDefault="00000000" w:rsidRPr="00000000" w14:paraId="00000033">
            <w:pPr>
              <w:numPr>
                <w:ilvl w:val="0"/>
                <w:numId w:val="2"/>
              </w:numPr>
              <w:ind w:left="720" w:hanging="360"/>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Which office holders are the top recipients of police in total contribution amount and as a percentage of all their contributions?</w:t>
            </w:r>
          </w:p>
          <w:p w:rsidR="00000000" w:rsidDel="00000000" w:rsidP="00000000" w:rsidRDefault="00000000" w:rsidRPr="00000000" w14:paraId="00000034">
            <w:pPr>
              <w:numPr>
                <w:ilvl w:val="0"/>
                <w:numId w:val="2"/>
              </w:numPr>
              <w:ind w:left="720" w:hanging="360"/>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How do police department donations per capita vary across MA?</w:t>
            </w:r>
          </w:p>
        </w:tc>
      </w:tr>
      <w:tr>
        <w:trPr>
          <w:trHeight w:val="26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Tools and Methods</w:t>
            </w:r>
          </w:p>
          <w:p w:rsidR="00000000" w:rsidDel="00000000" w:rsidP="00000000" w:rsidRDefault="00000000" w:rsidRPr="00000000" w14:paraId="00000037">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is already collected and pre-processed for use under the OCPF data, the students will just need to run the analysis and visualizations for the state level public office holders such as state senators and state representatives. They will have to collect all the information for other city officials and state executive office holders</w:t>
            </w:r>
          </w:p>
          <w:p w:rsidR="00000000" w:rsidDel="00000000" w:rsidP="00000000" w:rsidRDefault="00000000" w:rsidRPr="00000000" w14:paraId="00000038">
            <w:pPr>
              <w:spacing w:line="3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data processing use Pandas in python.</w:t>
            </w:r>
          </w:p>
          <w:p w:rsidR="00000000" w:rsidDel="00000000" w:rsidP="00000000" w:rsidRDefault="00000000" w:rsidRPr="00000000" w14:paraId="0000003A">
            <w:pPr>
              <w:spacing w:line="3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data visualizations use - Tableau (free student license available), Matplotlib, Bokeh (interactive python visualizations), and Seaborn</w:t>
            </w:r>
          </w:p>
          <w:p w:rsidR="00000000" w:rsidDel="00000000" w:rsidP="00000000" w:rsidRDefault="00000000" w:rsidRPr="00000000" w14:paraId="0000003C">
            <w:pPr>
              <w:spacing w:line="3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 on client availability</w:t>
            </w:r>
          </w:p>
        </w:tc>
      </w:tr>
    </w:tbl>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census.gov/cedsci/table?q=DP05&amp;g=0400000US25,25.140000_0500000US25019.140000_8600000US02126&amp;tid=ACSDP5Y2017.DP05&amp;hidePreview=true" TargetMode="External"/><Relationship Id="rId10" Type="http://schemas.openxmlformats.org/officeDocument/2006/relationships/hyperlink" Target="https://drive.google.com/file/d/1dTGj2CJec4F7K4SheRYDwRKETp1tM3XD/view?usp=sharing" TargetMode="External"/><Relationship Id="rId12" Type="http://schemas.openxmlformats.org/officeDocument/2006/relationships/hyperlink" Target="https://www.ocpf.us/Filers/Index" TargetMode="External"/><Relationship Id="rId9" Type="http://schemas.openxmlformats.org/officeDocument/2006/relationships/hyperlink" Target="https://drive.google.com/file/d/1Ab9NzxiFHY016ch6_VcaUMedjI_mCaLj/view?usp=sharing" TargetMode="External"/><Relationship Id="rId5" Type="http://schemas.openxmlformats.org/officeDocument/2006/relationships/styles" Target="styles.xml"/><Relationship Id="rId6" Type="http://schemas.openxmlformats.org/officeDocument/2006/relationships/hyperlink" Target="mailto:jon.rodrigues23@gmail.com" TargetMode="External"/><Relationship Id="rId7" Type="http://schemas.openxmlformats.org/officeDocument/2006/relationships/hyperlink" Target="mailto:LChambers@aclum.org" TargetMode="External"/><Relationship Id="rId8" Type="http://schemas.openxmlformats.org/officeDocument/2006/relationships/hyperlink" Target="https://drive.google.com/file/d/1u3PoVHwKBWG-O2RAft3Kx4UoOt6vOAp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