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Early insights presentations </w:t>
      </w:r>
      <w:r w:rsidDel="00000000" w:rsidR="00000000" w:rsidRPr="00000000">
        <w:rPr>
          <w:rFonts w:ascii="Calibri" w:cs="Calibri" w:eastAsia="Calibri" w:hAnsi="Calibri"/>
          <w:highlight w:val="green"/>
          <w:rtl w:val="0"/>
        </w:rPr>
        <w:t xml:space="preserve">(9th week)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 all the base questions requested by the partner as listed above in the base project description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Challenges /limitations encountered, assumptions made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Next steps, completion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line="240" w:lineRule="auto"/>
        <w:ind w:left="144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Good spot for PM’s to take notes about what may need to be planned for cleanup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extension topics your team is interested in and research other datasets/sources (be creative)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line="276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proposal 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that contains: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Extension pitch and rationale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Questions to be answered for analysis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Datasets &amp; sources you will be using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216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Optional: any additional information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FkQJpOBXHbsJj7LdFNFHaMBzaAt69HARnmcam-slp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