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Where the Data Goes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permits, Property Assessment Data, Addresses (Sam database), and neighborhood data go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Folder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Cleaned bedroom data goes into</w:t>
      </w:r>
      <w:r w:rsidDel="00000000" w:rsidR="00000000" w:rsidRPr="00000000">
        <w:rPr>
          <w:b w:val="1"/>
          <w:sz w:val="24"/>
          <w:szCs w:val="24"/>
          <w:rtl w:val="0"/>
        </w:rPr>
        <w:t xml:space="preserve"> Cleaned Bedroom Data Folder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Primary Data Links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Avenir" w:cs="Avenir" w:eastAsia="Avenir" w:hAnsi="Avenir"/>
          <w:u w:val="none"/>
        </w:rPr>
      </w:pPr>
      <w:hyperlink r:id="rId6">
        <w:r w:rsidDel="00000000" w:rsidR="00000000" w:rsidRPr="00000000">
          <w:rPr>
            <w:rFonts w:ascii="Avenir" w:cs="Avenir" w:eastAsia="Avenir" w:hAnsi="Avenir"/>
            <w:color w:val="1155cc"/>
            <w:u w:val="single"/>
            <w:rtl w:val="0"/>
          </w:rPr>
          <w:t xml:space="preserve">Building permits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Accessed By: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ApprovedBuildingPermit_CS506.ipynb </w:t>
      </w:r>
      <w:r w:rsidDel="00000000" w:rsidR="00000000" w:rsidRPr="00000000">
        <w:rPr>
          <w:i w:val="1"/>
          <w:rtl w:val="0"/>
        </w:rPr>
        <w:t xml:space="preserve">(Early Insights Notebook)</w:t>
      </w:r>
    </w:p>
    <w:p w:rsidR="00000000" w:rsidDel="00000000" w:rsidP="00000000" w:rsidRDefault="00000000" w:rsidRPr="00000000" w14:paraId="0000000F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DataCombinedProcessingSAM.ipynb </w:t>
      </w:r>
      <w:r w:rsidDel="00000000" w:rsidR="00000000" w:rsidRPr="00000000">
        <w:rPr>
          <w:i w:val="1"/>
          <w:rtl w:val="0"/>
        </w:rPr>
        <w:t xml:space="preserve">(Midsemester Insights Notebook)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Unit_loss_to_remodels.ipynb </w:t>
      </w:r>
      <w:r w:rsidDel="00000000" w:rsidR="00000000" w:rsidRPr="00000000">
        <w:rPr>
          <w:i w:val="1"/>
          <w:rtl w:val="0"/>
        </w:rPr>
        <w:t xml:space="preserve">(Midsemester Insights Notebook)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Property Assessment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Accessed By: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Land_use_analysis.ipynb </w:t>
      </w:r>
      <w:r w:rsidDel="00000000" w:rsidR="00000000" w:rsidRPr="00000000">
        <w:rPr>
          <w:i w:val="1"/>
          <w:rtl w:val="0"/>
        </w:rPr>
        <w:t xml:space="preserve">(Early Insights Notebook)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Variables_in_Property_Assesment-Yearly_Analysis.ipynb </w:t>
      </w:r>
      <w:r w:rsidDel="00000000" w:rsidR="00000000" w:rsidRPr="00000000">
        <w:rPr>
          <w:i w:val="1"/>
          <w:rtl w:val="0"/>
        </w:rPr>
        <w:t xml:space="preserve">(Early Insights Notebook)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Zipcode_&amp;_Evaluation-Analysis.ipynb </w:t>
      </w:r>
      <w:r w:rsidDel="00000000" w:rsidR="00000000" w:rsidRPr="00000000">
        <w:rPr>
          <w:i w:val="1"/>
          <w:rtl w:val="0"/>
        </w:rPr>
        <w:t xml:space="preserve">(Early Insights Notebook)</w:t>
      </w:r>
    </w:p>
    <w:p w:rsidR="00000000" w:rsidDel="00000000" w:rsidP="00000000" w:rsidRDefault="00000000" w:rsidRPr="00000000" w14:paraId="0000001A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Renovations&amp;Bedrooms_Analysis.ipynb </w:t>
      </w:r>
      <w:r w:rsidDel="00000000" w:rsidR="00000000" w:rsidRPr="00000000">
        <w:rPr>
          <w:i w:val="1"/>
          <w:rtl w:val="0"/>
        </w:rPr>
        <w:t xml:space="preserve">(Mid Semester Insights Notebook)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Heatmap_Renovations&amp;ResidentialUnits.ipynb </w:t>
      </w:r>
      <w:r w:rsidDel="00000000" w:rsidR="00000000" w:rsidRPr="00000000">
        <w:rPr>
          <w:i w:val="1"/>
          <w:rtl w:val="0"/>
        </w:rPr>
        <w:t xml:space="preserve">(Mid Semester Insights Notebook)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Living Room Correlation.ipynb </w:t>
      </w:r>
      <w:r w:rsidDel="00000000" w:rsidR="00000000" w:rsidRPr="00000000">
        <w:rPr>
          <w:i w:val="1"/>
          <w:rtl w:val="0"/>
        </w:rPr>
        <w:t xml:space="preserve">(Final Insights Notebook)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Linear Regression on Bedrooms.ipynb</w:t>
      </w:r>
      <w:r w:rsidDel="00000000" w:rsidR="00000000" w:rsidRPr="00000000">
        <w:rPr>
          <w:i w:val="1"/>
          <w:rtl w:val="0"/>
        </w:rPr>
        <w:t xml:space="preserve"> (Final Insights Notebook)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Property-loss-by-neighborhood.ipynb </w:t>
      </w:r>
      <w:r w:rsidDel="00000000" w:rsidR="00000000" w:rsidRPr="00000000">
        <w:rPr>
          <w:i w:val="1"/>
          <w:rtl w:val="0"/>
        </w:rPr>
        <w:t xml:space="preserve">(Final Insights Notebook)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Avenir" w:cs="Avenir" w:eastAsia="Avenir" w:hAnsi="Avenir"/>
          <w:u w:val="none"/>
        </w:rPr>
      </w:pPr>
      <w:hyperlink r:id="rId8">
        <w:r w:rsidDel="00000000" w:rsidR="00000000" w:rsidRPr="00000000">
          <w:rPr>
            <w:rFonts w:ascii="Avenir" w:cs="Avenir" w:eastAsia="Avenir" w:hAnsi="Avenir"/>
            <w:color w:val="1155cc"/>
            <w:u w:val="single"/>
            <w:rtl w:val="0"/>
          </w:rPr>
          <w:t xml:space="preserve">Addresses (Sam database)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Accessed By: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DataCombinedProcessingSAM</w:t>
      </w:r>
      <w:r w:rsidDel="00000000" w:rsidR="00000000" w:rsidRPr="00000000">
        <w:rPr>
          <w:rtl w:val="0"/>
        </w:rPr>
        <w:t xml:space="preserve">.ipynb </w:t>
      </w:r>
      <w:r w:rsidDel="00000000" w:rsidR="00000000" w:rsidRPr="00000000">
        <w:rPr>
          <w:i w:val="1"/>
          <w:rtl w:val="0"/>
        </w:rPr>
        <w:t xml:space="preserve">(Midsemester Insights Notebook)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Heatmap_Renovations&amp;Bedrooms.ipynb </w:t>
      </w:r>
      <w:r w:rsidDel="00000000" w:rsidR="00000000" w:rsidRPr="00000000">
        <w:rPr>
          <w:i w:val="1"/>
          <w:rtl w:val="0"/>
        </w:rPr>
        <w:t xml:space="preserve">(Midsemester Insights Notebook)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Heatmap_Renovations&amp;ResidentialUnits.ipynb </w:t>
      </w:r>
      <w:r w:rsidDel="00000000" w:rsidR="00000000" w:rsidRPr="00000000">
        <w:rPr>
          <w:i w:val="1"/>
          <w:rtl w:val="0"/>
        </w:rPr>
        <w:t xml:space="preserve">(Midsemester Insights Notebook)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Neighborhood Data</w:t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2010 Neighborhood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Accessed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Heatmap_Renovations&amp;Bedrooms.ipynb </w:t>
      </w:r>
      <w:r w:rsidDel="00000000" w:rsidR="00000000" w:rsidRPr="00000000">
        <w:rPr>
          <w:i w:val="1"/>
          <w:rtl w:val="0"/>
        </w:rPr>
        <w:t xml:space="preserve">(Midsemester Insights Notebook)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Heatmap_Renovations&amp;ResidentialUnits.ipynb </w:t>
      </w:r>
      <w:r w:rsidDel="00000000" w:rsidR="00000000" w:rsidRPr="00000000">
        <w:rPr>
          <w:i w:val="1"/>
          <w:rtl w:val="0"/>
        </w:rPr>
        <w:t xml:space="preserve">(Midsemester Insights Notebook)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2020 Neighborhood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Accessed By:</w:t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i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Bedroom Cleaned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240" w:lineRule="auto"/>
        <w:ind w:left="72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Increased Bedrooms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240" w:lineRule="auto"/>
        <w:ind w:left="720" w:hanging="360"/>
        <w:jc w:val="left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Decreased Bedrooms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40" w:lineRule="auto"/>
        <w:ind w:left="720" w:hanging="360"/>
        <w:jc w:val="left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No change Bedrooms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Created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Renovations&amp;Bedrooms_Analysis.ipynb (Mid Semester Insights Notebook)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Accessed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Heatmap_Renovations&amp;Bedrooms.ipynb </w:t>
      </w:r>
      <w:r w:rsidDel="00000000" w:rsidR="00000000" w:rsidRPr="00000000">
        <w:rPr>
          <w:i w:val="1"/>
          <w:rtl w:val="0"/>
        </w:rPr>
        <w:t xml:space="preserve">(Midsemester Insights Notebook)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pQakhixIUoykG9gzUb3MM37eOXKdi83K/view?usp=sharing" TargetMode="External"/><Relationship Id="rId10" Type="http://schemas.openxmlformats.org/officeDocument/2006/relationships/hyperlink" Target="https://data.boston.gov/dataset/census-2020-block-group-neighborhoods" TargetMode="External"/><Relationship Id="rId13" Type="http://schemas.openxmlformats.org/officeDocument/2006/relationships/hyperlink" Target="https://drive.google.com/file/d/1avOsv_SshwBi5dHB9oUUtAkbx_K38IbN/view" TargetMode="External"/><Relationship Id="rId12" Type="http://schemas.openxmlformats.org/officeDocument/2006/relationships/hyperlink" Target="https://drive.google.com/file/d/1cYpj9TwjelMAKjfHuf0dMx01aZX7pTny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boston.gov/dataset/bpda-neighborhood-boundaries/resource/e5849875-a6f6-4c9c-9d8a-5048b0fbd03e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boston.gov/dataset/approved-building-permits" TargetMode="External"/><Relationship Id="rId7" Type="http://schemas.openxmlformats.org/officeDocument/2006/relationships/hyperlink" Target="https://data.boston.gov/dataset/property-assessment" TargetMode="External"/><Relationship Id="rId8" Type="http://schemas.openxmlformats.org/officeDocument/2006/relationships/hyperlink" Target="https://data.boston.gov/dataset/live-street-address-management-sam-addr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