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167" w:type="dxa"/>
        <w:tblLook w:val="04A0" w:firstRow="1" w:lastRow="0" w:firstColumn="1" w:lastColumn="0" w:noHBand="0" w:noVBand="1"/>
      </w:tblPr>
      <w:tblGrid>
        <w:gridCol w:w="960"/>
        <w:gridCol w:w="1433"/>
        <w:gridCol w:w="960"/>
      </w:tblGrid>
      <w:tr w:rsidR="00AF70AE" w:rsidRPr="00AF70AE" w14:paraId="2C8EB17A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5D8D" w14:textId="77777777" w:rsidR="00AF70AE" w:rsidRPr="00AF70AE" w:rsidRDefault="00AF70AE" w:rsidP="00AF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zip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CF01" w14:textId="77777777" w:rsidR="00AF70AE" w:rsidRPr="00AF70AE" w:rsidRDefault="00AF70AE" w:rsidP="00AF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Ratio (Appreciation / Spending)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189B" w14:textId="77777777" w:rsidR="00AF70AE" w:rsidRPr="00AF70AE" w:rsidRDefault="00AF70AE" w:rsidP="00AF70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Unit Loss (Units)</w:t>
            </w:r>
          </w:p>
        </w:tc>
      </w:tr>
      <w:tr w:rsidR="00AF70AE" w:rsidRPr="00AF70AE" w14:paraId="170885B4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6482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2199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BFF4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EB73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585</w:t>
            </w:r>
          </w:p>
        </w:tc>
      </w:tr>
      <w:tr w:rsidR="00AF70AE" w:rsidRPr="00AF70AE" w14:paraId="6F26E5D2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0596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2113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11FF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0.000786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60EA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48F8E97A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89F2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2467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EF0A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4293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15D51694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D2A0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0DC7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7A56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595</w:t>
            </w:r>
          </w:p>
        </w:tc>
      </w:tr>
      <w:tr w:rsidR="00AF70AE" w:rsidRPr="00AF70AE" w14:paraId="284B32BE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FDD5F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426F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4349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AF70AE" w:rsidRPr="00AF70AE" w14:paraId="3EA60C9E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7A2A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809E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DB55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</w:t>
            </w:r>
          </w:p>
        </w:tc>
      </w:tr>
      <w:tr w:rsidR="00AF70AE" w:rsidRPr="00AF70AE" w14:paraId="45AC644E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E0D8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70F9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C445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7AA558A6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EAFE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BFE8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F282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35FEEAF9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E4B9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4FF8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B0DC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</w:t>
            </w:r>
          </w:p>
        </w:tc>
      </w:tr>
      <w:tr w:rsidR="00AF70AE" w:rsidRPr="00AF70AE" w14:paraId="5800F90C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92076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05B8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15D2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732F89C9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2072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C7C26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8343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0C31EF1B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EC2B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E2BF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8AE9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AF70AE" w:rsidRPr="00AF70AE" w14:paraId="508E1D5E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85D8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2111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A1A9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3A357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4ABC9329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9740A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9C1E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307BD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3382983C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59E5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8367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DEC2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4D0ED00D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14E2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E8D5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91F33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3711E2C4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6B79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D840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FDA2E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</w:t>
            </w:r>
          </w:p>
        </w:tc>
      </w:tr>
      <w:tr w:rsidR="00AF70AE" w:rsidRPr="00AF70AE" w14:paraId="1A47A0EB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3AB1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68B3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2710B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-288</w:t>
            </w:r>
          </w:p>
        </w:tc>
      </w:tr>
      <w:tr w:rsidR="00AF70AE" w:rsidRPr="00AF70AE" w14:paraId="67D62A93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51CD4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2119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D976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68C03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16</w:t>
            </w:r>
          </w:p>
        </w:tc>
      </w:tr>
      <w:tr w:rsidR="00AF70AE" w:rsidRPr="00AF70AE" w14:paraId="0735FD20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414A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17F56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0.000104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DCB5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12FD11A9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6148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2215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EAE3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9.84E-05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D73C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0FBE95BE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336D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2116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8477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9.06E-05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66E9F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AF70AE" w:rsidRPr="00AF70AE" w14:paraId="14CF322A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548B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2127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2D04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8.97E-05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C819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-80</w:t>
            </w:r>
          </w:p>
        </w:tc>
      </w:tr>
      <w:tr w:rsidR="00AF70AE" w:rsidRPr="00AF70AE" w14:paraId="1A6187AE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28E2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2122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45B5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8.31E-05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2844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-64</w:t>
            </w:r>
          </w:p>
        </w:tc>
      </w:tr>
      <w:tr w:rsidR="00AF70AE" w:rsidRPr="00AF70AE" w14:paraId="49B8E2AC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E2EC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440DE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8.23E-05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942EB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12330998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CCE41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2134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886D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7.72E-05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9E42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AF70AE" w:rsidRPr="00AF70AE" w14:paraId="7A373053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3C7DC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2135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7333D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6.19E-05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8FB6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-288</w:t>
            </w:r>
          </w:p>
        </w:tc>
      </w:tr>
      <w:tr w:rsidR="00AF70AE" w:rsidRPr="00AF70AE" w14:paraId="78E7DE74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E00E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2118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15553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5.71E-05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1BA1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AF70AE" w:rsidRPr="00AF70AE" w14:paraId="19409635" w14:textId="77777777" w:rsidTr="00AF70A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08B7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2128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148FF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5.67E-05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237F" w14:textId="77777777" w:rsidR="00AF70AE" w:rsidRPr="00AF70AE" w:rsidRDefault="00AF70AE" w:rsidP="00AF70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F70A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</w:tbl>
    <w:p w14:paraId="032FE14B" w14:textId="77777777" w:rsidR="005537F3" w:rsidRDefault="005537F3"/>
    <w:p w14:paraId="6ED5ED35" w14:textId="77777777" w:rsidR="00AF70AE" w:rsidRDefault="00AF70AE"/>
    <w:p w14:paraId="659589E8" w14:textId="77777777" w:rsidR="00AF70AE" w:rsidRDefault="00AF70AE">
      <w:r>
        <w:rPr>
          <w:noProof/>
        </w:rPr>
        <w:lastRenderedPageBreak/>
        <w:drawing>
          <wp:inline distT="0" distB="0" distL="0" distR="0" wp14:anchorId="2905137A" wp14:editId="42C01517">
            <wp:extent cx="5943600" cy="4355465"/>
            <wp:effectExtent l="0" t="0" r="0" b="6985"/>
            <wp:docPr id="8837062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7E9EF7-CD8E-6E56-3567-5DFAF00FBA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F75EA5E" w14:textId="77777777" w:rsidR="00AF70AE" w:rsidRDefault="00AF70AE"/>
    <w:p w14:paraId="1D5E8AF8" w14:textId="101EA2AF" w:rsidR="00AF70AE" w:rsidRDefault="00AF70AE">
      <w:r>
        <w:t>A</w:t>
      </w:r>
      <w:r>
        <w:t xml:space="preserve">fter appending </w:t>
      </w:r>
      <w:r>
        <w:t>these ratios from python, and applying these to a file, ‘no_outlier_data_ratio_building.csv’, I was left with a file which contained the ratios (Appreciation / Spending) and the zips. From the data above, this chart was created via the following: first, I condensed the zip code data back into their respective cities. Then, I organized the data by the highest of these ratios and added a recommended chart in Excel. This was the resulting chart.</w:t>
      </w:r>
    </w:p>
    <w:p w14:paraId="36665BFA" w14:textId="77777777" w:rsidR="00AF70AE" w:rsidRDefault="00AF70AE"/>
    <w:p w14:paraId="1E9DA1CE" w14:textId="77777777" w:rsidR="00AF70AE" w:rsidRDefault="00AF70AE"/>
    <w:p w14:paraId="7C52C98C" w14:textId="77777777" w:rsidR="00AF70AE" w:rsidRDefault="00AF70AE"/>
    <w:p w14:paraId="337B9E15" w14:textId="77777777" w:rsidR="00AF70AE" w:rsidRDefault="00AF70AE"/>
    <w:p w14:paraId="529EA838" w14:textId="0F0AFC3E" w:rsidR="00AF70AE" w:rsidRDefault="00AF70AE">
      <w:r>
        <w:rPr>
          <w:noProof/>
        </w:rPr>
        <w:lastRenderedPageBreak/>
        <w:drawing>
          <wp:inline distT="0" distB="0" distL="0" distR="0" wp14:anchorId="5F6A65B6" wp14:editId="3D829562">
            <wp:extent cx="5911849" cy="3771899"/>
            <wp:effectExtent l="0" t="0" r="13335" b="635"/>
            <wp:docPr id="129413310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239BA1-D4DB-3A67-875C-F62CAB355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622388" w14:textId="6EBF7BC3" w:rsidR="00AF70AE" w:rsidRDefault="00AF70AE">
      <w:r>
        <w:t xml:space="preserve">From this data, I was also able to take the data from page 20 on the midterm slides (Maha’s data) regarding the unit </w:t>
      </w:r>
      <w:proofErr w:type="gramStart"/>
      <w:r>
        <w:t>loss, and</w:t>
      </w:r>
      <w:proofErr w:type="gramEnd"/>
      <w:r>
        <w:t xml:space="preserve"> compare this against the data above. Creating a new column for this loss, I took each respective city and applied the values from this slide to create a new chart which compared the cities’ ratios vs. the unit loss. Finally, I multiplied all values by -1, since this </w:t>
      </w:r>
      <w:proofErr w:type="gramStart"/>
      <w:r>
        <w:t>is representing</w:t>
      </w:r>
      <w:proofErr w:type="gramEnd"/>
      <w:r>
        <w:t xml:space="preserve"> unit loss and loss in this case is positive, not negative. Again, using the Excel ‘recommended chart’ tab, I was able to create this chart then apply ‘Add Chart Element’, then, ‘Trendline’, and added a ‘Linear Forecast’, to graph a line representing the correlation between unit loss and this ratio. This was the resulting chart. </w:t>
      </w:r>
    </w:p>
    <w:sectPr w:rsidR="00AF7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AE"/>
    <w:rsid w:val="005537F3"/>
    <w:rsid w:val="0072209B"/>
    <w:rsid w:val="00AF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DDCBF"/>
  <w15:chartTrackingRefBased/>
  <w15:docId w15:val="{52D74059-EBD7-46D7-AEBF-536E341E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7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7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7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7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70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70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70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7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7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70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70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70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70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70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70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7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7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70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70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70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7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70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70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Sheet1!$S$1</c:f>
              <c:strCache>
                <c:ptCount val="1"/>
                <c:pt idx="0">
                  <c:v>Appreciation / Spending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Sheet1!$Q$2:$R$16</c:f>
              <c:multiLvlStrCache>
                <c:ptCount val="15"/>
                <c:lvl>
                  <c:pt idx="0">
                    <c:v>Back Bay</c:v>
                  </c:pt>
                  <c:pt idx="1">
                    <c:v>North End</c:v>
                  </c:pt>
                  <c:pt idx="2">
                    <c:v>Chestnut Hill</c:v>
                  </c:pt>
                  <c:pt idx="3">
                    <c:v>Beacon Hill</c:v>
                  </c:pt>
                  <c:pt idx="4">
                    <c:v>Roxbury</c:v>
                  </c:pt>
                  <c:pt idx="5">
                    <c:v>Dorchester</c:v>
                  </c:pt>
                  <c:pt idx="6">
                    <c:v>Mattapan</c:v>
                  </c:pt>
                  <c:pt idx="7">
                    <c:v>Brighton</c:v>
                  </c:pt>
                  <c:pt idx="8">
                    <c:v>Roslindale</c:v>
                  </c:pt>
                  <c:pt idx="9">
                    <c:v>Dorchester</c:v>
                  </c:pt>
                  <c:pt idx="10">
                    <c:v>Milton</c:v>
                  </c:pt>
                  <c:pt idx="11">
                    <c:v>West Roxbury</c:v>
                  </c:pt>
                  <c:pt idx="12">
                    <c:v>Chinatown</c:v>
                  </c:pt>
                  <c:pt idx="13">
                    <c:v>Back Bay / Fenway</c:v>
                  </c:pt>
                  <c:pt idx="14">
                    <c:v>Charlestown</c:v>
                  </c:pt>
                </c:lvl>
                <c:lvl>
                  <c:pt idx="0">
                    <c:v>2199</c:v>
                  </c:pt>
                  <c:pt idx="1">
                    <c:v>2113</c:v>
                  </c:pt>
                  <c:pt idx="2">
                    <c:v>2467</c:v>
                  </c:pt>
                  <c:pt idx="3">
                    <c:v>2108</c:v>
                  </c:pt>
                  <c:pt idx="4">
                    <c:v>2120</c:v>
                  </c:pt>
                  <c:pt idx="5">
                    <c:v>2121</c:v>
                  </c:pt>
                  <c:pt idx="6">
                    <c:v>2126</c:v>
                  </c:pt>
                  <c:pt idx="7">
                    <c:v>2109</c:v>
                  </c:pt>
                  <c:pt idx="8">
                    <c:v>2131</c:v>
                  </c:pt>
                  <c:pt idx="9">
                    <c:v>2124</c:v>
                  </c:pt>
                  <c:pt idx="10">
                    <c:v>2136</c:v>
                  </c:pt>
                  <c:pt idx="11">
                    <c:v>2132</c:v>
                  </c:pt>
                  <c:pt idx="12">
                    <c:v>2111</c:v>
                  </c:pt>
                  <c:pt idx="13">
                    <c:v>2115</c:v>
                  </c:pt>
                  <c:pt idx="14">
                    <c:v>2129</c:v>
                  </c:pt>
                </c:lvl>
              </c:multiLvlStrCache>
            </c:multiLvlStrRef>
          </c:cat>
          <c:val>
            <c:numRef>
              <c:f>Sheet1!$S$2:$S$16</c:f>
              <c:numCache>
                <c:formatCode>General</c:formatCode>
                <c:ptCount val="15"/>
                <c:pt idx="0">
                  <c:v>9.3885432780269095E-4</c:v>
                </c:pt>
                <c:pt idx="1">
                  <c:v>7.8606088404990402E-4</c:v>
                </c:pt>
                <c:pt idx="2">
                  <c:v>5.0413446990778504E-4</c:v>
                </c:pt>
                <c:pt idx="3">
                  <c:v>4.8492969039686201E-4</c:v>
                </c:pt>
                <c:pt idx="4">
                  <c:v>3.81582025445275E-4</c:v>
                </c:pt>
                <c:pt idx="5">
                  <c:v>3.4666788408417701E-4</c:v>
                </c:pt>
                <c:pt idx="6">
                  <c:v>2.56213157160524E-4</c:v>
                </c:pt>
                <c:pt idx="7">
                  <c:v>2.2181081582210501E-4</c:v>
                </c:pt>
                <c:pt idx="8">
                  <c:v>1.9243569394996501E-4</c:v>
                </c:pt>
                <c:pt idx="9">
                  <c:v>1.9094719519166601E-4</c:v>
                </c:pt>
                <c:pt idx="10">
                  <c:v>1.8353586107730299E-4</c:v>
                </c:pt>
                <c:pt idx="11">
                  <c:v>1.83172001504087E-4</c:v>
                </c:pt>
                <c:pt idx="12">
                  <c:v>1.8077318240999901E-4</c:v>
                </c:pt>
                <c:pt idx="13">
                  <c:v>1.4118221711466601E-4</c:v>
                </c:pt>
                <c:pt idx="14">
                  <c:v>1.3544903719007499E-4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BA5-4E78-8A41-7D03AE0626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24827888"/>
        <c:axId val="1024830408"/>
      </c:barChart>
      <c:catAx>
        <c:axId val="102482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830408"/>
        <c:crosses val="autoZero"/>
        <c:auto val="1"/>
        <c:lblAlgn val="ctr"/>
        <c:lblOffset val="100"/>
        <c:noMultiLvlLbl val="0"/>
      </c:catAx>
      <c:valAx>
        <c:axId val="102483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24827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j-ea"/>
                <a:cs typeface="+mj-cs"/>
              </a:defRPr>
            </a:pPr>
            <a:r>
              <a:rPr lang="en-US" sz="1800" baseline="0">
                <a:latin typeface="Times New Roman" panose="02020603050405020304" pitchFamily="18" charset="0"/>
              </a:rPr>
              <a:t>Appreciation / Spending vs. Unit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790372183051361"/>
          <c:y val="0.14713808614705753"/>
          <c:w val="0.8364357750003425"/>
          <c:h val="0.72289554943014112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trendline>
            <c:spPr>
              <a:ln w="15875" cap="rnd">
                <a:solidFill>
                  <a:schemeClr val="accent2"/>
                </a:solidFill>
              </a:ln>
              <a:effectLst/>
            </c:spPr>
            <c:trendlineType val="linear"/>
            <c:dispRSqr val="0"/>
            <c:dispEq val="0"/>
          </c:trendline>
          <c:xVal>
            <c:numRef>
              <c:f>Sheet1!$B$2:$B$30</c:f>
              <c:numCache>
                <c:formatCode>General</c:formatCode>
                <c:ptCount val="29"/>
                <c:pt idx="0">
                  <c:v>9.3885432780269095E-4</c:v>
                </c:pt>
                <c:pt idx="1">
                  <c:v>7.8606088404990402E-4</c:v>
                </c:pt>
                <c:pt idx="2">
                  <c:v>5.0413446990778504E-4</c:v>
                </c:pt>
                <c:pt idx="3">
                  <c:v>4.8492969039686201E-4</c:v>
                </c:pt>
                <c:pt idx="4">
                  <c:v>3.81582025445275E-4</c:v>
                </c:pt>
                <c:pt idx="5">
                  <c:v>3.4666788408417701E-4</c:v>
                </c:pt>
                <c:pt idx="6">
                  <c:v>2.56213157160524E-4</c:v>
                </c:pt>
                <c:pt idx="7">
                  <c:v>2.2181081582210501E-4</c:v>
                </c:pt>
                <c:pt idx="8">
                  <c:v>1.9243569394996501E-4</c:v>
                </c:pt>
                <c:pt idx="9">
                  <c:v>1.9094719519166601E-4</c:v>
                </c:pt>
                <c:pt idx="10">
                  <c:v>1.8353586107730299E-4</c:v>
                </c:pt>
                <c:pt idx="11">
                  <c:v>1.83172001504087E-4</c:v>
                </c:pt>
                <c:pt idx="12">
                  <c:v>1.8077318240999901E-4</c:v>
                </c:pt>
                <c:pt idx="13">
                  <c:v>1.4118221711466601E-4</c:v>
                </c:pt>
                <c:pt idx="14">
                  <c:v>1.3544903719007499E-4</c:v>
                </c:pt>
                <c:pt idx="15">
                  <c:v>1.3377948040341699E-4</c:v>
                </c:pt>
                <c:pt idx="16">
                  <c:v>1.2442185788735899E-4</c:v>
                </c:pt>
                <c:pt idx="17">
                  <c:v>1.14458735004718E-4</c:v>
                </c:pt>
                <c:pt idx="18">
                  <c:v>1.11371888249248E-4</c:v>
                </c:pt>
                <c:pt idx="19">
                  <c:v>1.04307997277682E-4</c:v>
                </c:pt>
                <c:pt idx="20" formatCode="0.00E+00">
                  <c:v>9.8416891422857202E-5</c:v>
                </c:pt>
                <c:pt idx="21" formatCode="0.00E+00">
                  <c:v>9.0617056334803796E-5</c:v>
                </c:pt>
                <c:pt idx="22" formatCode="0.00E+00">
                  <c:v>8.9705540777494706E-5</c:v>
                </c:pt>
                <c:pt idx="23" formatCode="0.00E+00">
                  <c:v>8.3086491660896495E-5</c:v>
                </c:pt>
                <c:pt idx="24" formatCode="0.00E+00">
                  <c:v>8.2323336390384994E-5</c:v>
                </c:pt>
                <c:pt idx="25" formatCode="0.00E+00">
                  <c:v>7.7232175702093305E-5</c:v>
                </c:pt>
                <c:pt idx="26" formatCode="0.00E+00">
                  <c:v>6.1947454906098395E-5</c:v>
                </c:pt>
                <c:pt idx="27" formatCode="0.00E+00">
                  <c:v>5.7119282157921302E-5</c:v>
                </c:pt>
                <c:pt idx="28" formatCode="0.00E+00">
                  <c:v>5.6684786469485397E-5</c:v>
                </c:pt>
              </c:numCache>
            </c:numRef>
          </c:xVal>
          <c:yVal>
            <c:numRef>
              <c:f>Sheet1!$C$2:$C$30</c:f>
              <c:numCache>
                <c:formatCode>General</c:formatCode>
                <c:ptCount val="29"/>
                <c:pt idx="0">
                  <c:v>585</c:v>
                </c:pt>
                <c:pt idx="1">
                  <c:v>0</c:v>
                </c:pt>
                <c:pt idx="2">
                  <c:v>0</c:v>
                </c:pt>
                <c:pt idx="3">
                  <c:v>595</c:v>
                </c:pt>
                <c:pt idx="4">
                  <c:v>16</c:v>
                </c:pt>
                <c:pt idx="5">
                  <c:v>-64</c:v>
                </c:pt>
                <c:pt idx="6">
                  <c:v>0</c:v>
                </c:pt>
                <c:pt idx="7">
                  <c:v>0</c:v>
                </c:pt>
                <c:pt idx="8">
                  <c:v>-20</c:v>
                </c:pt>
                <c:pt idx="9">
                  <c:v>0</c:v>
                </c:pt>
                <c:pt idx="10">
                  <c:v>0</c:v>
                </c:pt>
                <c:pt idx="11">
                  <c:v>16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-64</c:v>
                </c:pt>
                <c:pt idx="17">
                  <c:v>-288</c:v>
                </c:pt>
                <c:pt idx="18">
                  <c:v>16</c:v>
                </c:pt>
                <c:pt idx="19">
                  <c:v>0</c:v>
                </c:pt>
                <c:pt idx="20">
                  <c:v>0</c:v>
                </c:pt>
                <c:pt idx="21">
                  <c:v>4</c:v>
                </c:pt>
                <c:pt idx="22">
                  <c:v>-80</c:v>
                </c:pt>
                <c:pt idx="23">
                  <c:v>-64</c:v>
                </c:pt>
                <c:pt idx="24">
                  <c:v>0</c:v>
                </c:pt>
                <c:pt idx="25">
                  <c:v>0</c:v>
                </c:pt>
                <c:pt idx="26">
                  <c:v>-288</c:v>
                </c:pt>
                <c:pt idx="27">
                  <c:v>4</c:v>
                </c:pt>
                <c:pt idx="28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F98-4F62-AE3A-CDDF2BB9CC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41011696"/>
        <c:axId val="841012056"/>
      </c:scatterChart>
      <c:valAx>
        <c:axId val="841011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1200" baseline="0">
                    <a:latin typeface="Times New Roman" panose="02020603050405020304" pitchFamily="18" charset="0"/>
                  </a:rPr>
                  <a:t>Ratio (Appreciation / Spending)</a:t>
                </a:r>
              </a:p>
              <a:p>
                <a:pPr>
                  <a:defRPr sz="1200">
                    <a:latin typeface="Times New Roman" panose="02020603050405020304" pitchFamily="18" charset="0"/>
                  </a:defRPr>
                </a:pPr>
                <a:endParaRPr lang="en-US" sz="1200" baseline="0">
                  <a:latin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012056"/>
        <c:crosses val="autoZero"/>
        <c:crossBetween val="midCat"/>
      </c:valAx>
      <c:valAx>
        <c:axId val="841012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+mn-cs"/>
                  </a:defRPr>
                </a:pPr>
                <a:r>
                  <a:rPr lang="en-US" sz="1200" baseline="0">
                    <a:latin typeface="Times New Roman" panose="02020603050405020304" pitchFamily="18" charset="0"/>
                  </a:rPr>
                  <a:t>Unit Loss (Units)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1011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Lawrence</dc:creator>
  <cp:keywords/>
  <dc:description/>
  <cp:lastModifiedBy>Anderson Lawrence</cp:lastModifiedBy>
  <cp:revision>1</cp:revision>
  <dcterms:created xsi:type="dcterms:W3CDTF">2024-04-26T00:39:00Z</dcterms:created>
  <dcterms:modified xsi:type="dcterms:W3CDTF">2024-04-26T00:49:00Z</dcterms:modified>
</cp:coreProperties>
</file>