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120"/>
        <w:gridCol w:w="3915"/>
        <w:tblGridChange w:id="0">
          <w:tblGrid>
            <w:gridCol w:w="3630"/>
            <w:gridCol w:w="3120"/>
            <w:gridCol w:w="3915"/>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 Scrum Report - Week 5</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6">
            <w:pPr>
              <w:ind w:left="0" w:firstLine="0"/>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br w:type="textWrapping"/>
              <w:t xml:space="preserve">  Rafael Perron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What have I worked 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Added some extra graphs to plot denial reasons and loan type rejection rate. Also a graph to analyze which county’s have the highest average income to compare to loan amounts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Worked on my slides of the presentation and then presented during our early insights presentation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rtl w:val="0"/>
              </w:rPr>
              <w:t xml:space="preserve">What will I be working on next?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Change the graphs to make them more readable. Normalize the graphs. Plot medians instead of means to check if affected by outliers. Look for more denial reasons and plot that with race.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Maybe when I’m plotting denial reasons for each race, I’d want to talk to Tom about the best way to do that.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r w:rsidDel="00000000" w:rsidR="00000000" w:rsidRPr="00000000">
              <w:rPr>
                <w:rtl w:val="0"/>
              </w:rPr>
              <w:t xml:space="preserve">Team Lead/Rep: Have I talked to the client recently? When are we meeting with them next?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saw him during the Early Insights meeting. He had to leave before I got to present but the meeting was recorded so he’ll get to watch.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next client meeting is in two weeks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 Tianyi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What have I worked on? </w:t>
            </w:r>
          </w:p>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of Slide 2, attend team meetings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What will I be working on next?</w:t>
            </w:r>
          </w:p>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Add more code and analysis to the dataset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issues for now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br w:type="textWrapping"/>
              <w:t xml:space="preserve">Adriana Alvarado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What have I worked on? </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worked on my assigned slide for the presentation, and have continued to look over the datasets to create additional visuals for our next deliverable.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What will I be working on next?</w:t>
            </w:r>
          </w:p>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be adding more code to show my visuals that go into the assigned project questions deeper, along with seeing what feedback the client had (if any).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issues as of now.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br w:type="textWrapping"/>
              <w:t xml:space="preserve"> David Sullo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What have I worked on? </w:t>
            </w:r>
          </w:p>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researched different data sets to use for our extension of the program. I also wrote our extension proposal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What will I be working on next?</w:t>
            </w:r>
          </w:p>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begin looking through the new data sets for any information relevant to our study.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at the moment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br w:type="textWrapping"/>
              <w:t xml:space="preserve">Song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What have I worked on? </w:t>
            </w:r>
          </w:p>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working on slides of presentation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What will I be working on next?</w:t>
            </w:r>
          </w:p>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meet with the team and discuss future needs.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4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Q0xNQpogKy66gE5O/kdZRNz8Kg==">AMUW2mUW5L9y0z1NHLZtoTXjtCawYcTBmLm3LFeO3ciK2KhNOJiuwB3YDTwAjRB3jEriyTfW1YBhgPzaFaGHfYfyeAli5GiTZ/dNdxBS+IZIz9zaf/iKj6Y=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