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0BA8" w14:textId="51C58F06" w:rsidR="008B5B6F" w:rsidRDefault="008B5B6F" w:rsidP="000A44A1">
      <w:pPr>
        <w:rPr>
          <w:rFonts w:ascii="Aptos" w:eastAsia="Times New Roman" w:hAnsi="Aptos"/>
          <w:color w:val="000000"/>
          <w:sz w:val="24"/>
          <w:szCs w:val="24"/>
        </w:rPr>
      </w:pPr>
      <w:r>
        <w:rPr>
          <w:rFonts w:ascii="Aptos" w:eastAsia="Times New Roman" w:hAnsi="Aptos"/>
          <w:color w:val="000000"/>
          <w:sz w:val="24"/>
          <w:szCs w:val="24"/>
        </w:rPr>
        <w:t>From Jessica, 1/8/2024:</w:t>
      </w:r>
    </w:p>
    <w:p w14:paraId="3BEE7973" w14:textId="77777777" w:rsidR="008B5B6F" w:rsidRDefault="008B5B6F" w:rsidP="000A44A1">
      <w:pPr>
        <w:rPr>
          <w:rFonts w:ascii="Aptos" w:eastAsia="Times New Roman" w:hAnsi="Aptos"/>
          <w:color w:val="000000"/>
          <w:sz w:val="24"/>
          <w:szCs w:val="24"/>
        </w:rPr>
      </w:pPr>
    </w:p>
    <w:p w14:paraId="2B00F325" w14:textId="7A4E6643" w:rsidR="000A44A1" w:rsidRDefault="000A44A1" w:rsidP="000A44A1">
      <w:pPr>
        <w:rPr>
          <w:rFonts w:ascii="Aptos" w:eastAsia="Times New Roman" w:hAnsi="Aptos"/>
          <w:color w:val="000000"/>
          <w:sz w:val="24"/>
          <w:szCs w:val="24"/>
        </w:rPr>
      </w:pPr>
      <w:r>
        <w:rPr>
          <w:rFonts w:ascii="Aptos" w:eastAsia="Times New Roman" w:hAnsi="Aptos"/>
          <w:color w:val="000000"/>
          <w:sz w:val="24"/>
          <w:szCs w:val="24"/>
        </w:rPr>
        <w:t>FUN! here's what we're offering them as a one time deal- </w:t>
      </w:r>
    </w:p>
    <w:p w14:paraId="5E7CA024" w14:textId="77777777" w:rsidR="000A44A1" w:rsidRDefault="000A44A1" w:rsidP="000A44A1">
      <w:pPr>
        <w:rPr>
          <w:rFonts w:ascii="Aptos" w:eastAsia="Times New Roman" w:hAnsi="Aptos"/>
          <w:color w:val="000000"/>
          <w:sz w:val="24"/>
          <w:szCs w:val="24"/>
        </w:rPr>
      </w:pPr>
    </w:p>
    <w:p w14:paraId="6E186CC7" w14:textId="77777777" w:rsidR="000A44A1" w:rsidRDefault="000A44A1" w:rsidP="000A44A1">
      <w:pPr>
        <w:rPr>
          <w:rFonts w:ascii="Aptos" w:eastAsia="Times New Roman" w:hAnsi="Aptos"/>
          <w:color w:val="000000"/>
          <w:sz w:val="24"/>
          <w:szCs w:val="24"/>
        </w:rPr>
      </w:pPr>
      <w:r>
        <w:rPr>
          <w:rFonts w:ascii="Aptos" w:eastAsia="Times New Roman" w:hAnsi="Aptos"/>
          <w:color w:val="000000"/>
          <w:sz w:val="24"/>
          <w:szCs w:val="24"/>
        </w:rPr>
        <w:t>The "base" bundle  for all the active and inactive nonprofits in Massachusetts with a filing for the following years:</w:t>
      </w:r>
    </w:p>
    <w:p w14:paraId="3A11F71E" w14:textId="77777777" w:rsidR="000A44A1" w:rsidRDefault="000A44A1" w:rsidP="000A44A1">
      <w:pPr>
        <w:rPr>
          <w:rFonts w:ascii="Aptos" w:eastAsia="Times New Roman" w:hAnsi="Aptos"/>
          <w:color w:val="000000"/>
          <w:sz w:val="24"/>
          <w:szCs w:val="24"/>
        </w:rPr>
      </w:pPr>
    </w:p>
    <w:tbl>
      <w:tblPr>
        <w:tblW w:w="0" w:type="auto"/>
        <w:tblInd w:w="697" w:type="dxa"/>
        <w:tblLook w:val="04A0" w:firstRow="1" w:lastRow="0" w:firstColumn="1" w:lastColumn="0" w:noHBand="0" w:noVBand="1"/>
      </w:tblPr>
      <w:tblGrid>
        <w:gridCol w:w="1349"/>
        <w:gridCol w:w="1617"/>
      </w:tblGrid>
      <w:tr w:rsidR="000A44A1" w14:paraId="63CC66B5" w14:textId="77777777" w:rsidTr="000A44A1">
        <w:trPr>
          <w:trHeight w:val="525"/>
        </w:trPr>
        <w:tc>
          <w:tcPr>
            <w:tcW w:w="13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bottom"/>
            <w:hideMark/>
          </w:tcPr>
          <w:p w14:paraId="5E42183B" w14:textId="77777777" w:rsidR="000A44A1" w:rsidRDefault="000A44A1">
            <w:pPr>
              <w:pStyle w:val="NormalWeb"/>
            </w:pPr>
            <w:r>
              <w:rPr>
                <w:b/>
                <w:bCs/>
                <w:color w:val="000000"/>
                <w:sz w:val="21"/>
                <w:szCs w:val="21"/>
              </w:rPr>
              <w:t>Fiscal Year</w:t>
            </w:r>
          </w:p>
        </w:tc>
        <w:tc>
          <w:tcPr>
            <w:tcW w:w="1617"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bottom"/>
            <w:hideMark/>
          </w:tcPr>
          <w:p w14:paraId="28A88393" w14:textId="77777777" w:rsidR="000A44A1" w:rsidRDefault="000A44A1">
            <w:pPr>
              <w:pStyle w:val="NormalWeb"/>
            </w:pPr>
            <w:r>
              <w:rPr>
                <w:b/>
                <w:bCs/>
                <w:color w:val="000000"/>
                <w:sz w:val="21"/>
                <w:szCs w:val="21"/>
              </w:rPr>
              <w:t>Record Count</w:t>
            </w:r>
          </w:p>
        </w:tc>
      </w:tr>
      <w:tr w:rsidR="000A44A1" w14:paraId="0674B55E" w14:textId="77777777" w:rsidTr="000A44A1">
        <w:trPr>
          <w:trHeight w:val="367"/>
        </w:trPr>
        <w:tc>
          <w:tcPr>
            <w:tcW w:w="1349"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bottom"/>
            <w:hideMark/>
          </w:tcPr>
          <w:p w14:paraId="338D1275" w14:textId="77777777" w:rsidR="000A44A1" w:rsidRDefault="000A44A1">
            <w:pPr>
              <w:pStyle w:val="NormalWeb"/>
            </w:pPr>
            <w:r>
              <w:rPr>
                <w:b/>
                <w:bCs/>
                <w:color w:val="000000"/>
                <w:sz w:val="21"/>
                <w:szCs w:val="21"/>
              </w:rPr>
              <w:t>2019</w:t>
            </w:r>
          </w:p>
        </w:tc>
        <w:tc>
          <w:tcPr>
            <w:tcW w:w="1617" w:type="dxa"/>
            <w:tcBorders>
              <w:top w:val="nil"/>
              <w:left w:val="nil"/>
              <w:bottom w:val="single" w:sz="8" w:space="0" w:color="000000"/>
              <w:right w:val="single" w:sz="8" w:space="0" w:color="000000"/>
            </w:tcBorders>
            <w:tcMar>
              <w:top w:w="15" w:type="dxa"/>
              <w:left w:w="15" w:type="dxa"/>
              <w:bottom w:w="15" w:type="dxa"/>
              <w:right w:w="15" w:type="dxa"/>
            </w:tcMar>
            <w:vAlign w:val="bottom"/>
            <w:hideMark/>
          </w:tcPr>
          <w:p w14:paraId="4609F123" w14:textId="77777777" w:rsidR="000A44A1" w:rsidRDefault="000A44A1">
            <w:pPr>
              <w:pStyle w:val="NormalWeb"/>
              <w:jc w:val="right"/>
            </w:pPr>
            <w:r>
              <w:rPr>
                <w:color w:val="000000"/>
                <w:sz w:val="21"/>
                <w:szCs w:val="21"/>
              </w:rPr>
              <w:t>21,354</w:t>
            </w:r>
          </w:p>
        </w:tc>
      </w:tr>
      <w:tr w:rsidR="000A44A1" w14:paraId="6BBB8228" w14:textId="77777777" w:rsidTr="000A44A1">
        <w:trPr>
          <w:trHeight w:val="368"/>
        </w:trPr>
        <w:tc>
          <w:tcPr>
            <w:tcW w:w="1349"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bottom"/>
            <w:hideMark/>
          </w:tcPr>
          <w:p w14:paraId="465E8EF8" w14:textId="77777777" w:rsidR="000A44A1" w:rsidRDefault="000A44A1">
            <w:pPr>
              <w:pStyle w:val="NormalWeb"/>
            </w:pPr>
            <w:r>
              <w:rPr>
                <w:b/>
                <w:bCs/>
                <w:color w:val="000000"/>
                <w:sz w:val="21"/>
                <w:szCs w:val="21"/>
              </w:rPr>
              <w:t>2020</w:t>
            </w:r>
          </w:p>
        </w:tc>
        <w:tc>
          <w:tcPr>
            <w:tcW w:w="1617" w:type="dxa"/>
            <w:tcBorders>
              <w:top w:val="nil"/>
              <w:left w:val="nil"/>
              <w:bottom w:val="single" w:sz="8" w:space="0" w:color="000000"/>
              <w:right w:val="single" w:sz="8" w:space="0" w:color="000000"/>
            </w:tcBorders>
            <w:tcMar>
              <w:top w:w="15" w:type="dxa"/>
              <w:left w:w="15" w:type="dxa"/>
              <w:bottom w:w="15" w:type="dxa"/>
              <w:right w:w="15" w:type="dxa"/>
            </w:tcMar>
            <w:vAlign w:val="bottom"/>
            <w:hideMark/>
          </w:tcPr>
          <w:p w14:paraId="349FA64C" w14:textId="77777777" w:rsidR="000A44A1" w:rsidRDefault="000A44A1">
            <w:pPr>
              <w:pStyle w:val="NormalWeb"/>
              <w:jc w:val="right"/>
            </w:pPr>
            <w:r>
              <w:rPr>
                <w:color w:val="000000"/>
                <w:sz w:val="21"/>
                <w:szCs w:val="21"/>
              </w:rPr>
              <w:t>20,964</w:t>
            </w:r>
          </w:p>
        </w:tc>
      </w:tr>
      <w:tr w:rsidR="000A44A1" w14:paraId="30A0B372" w14:textId="77777777" w:rsidTr="000A44A1">
        <w:trPr>
          <w:trHeight w:val="367"/>
        </w:trPr>
        <w:tc>
          <w:tcPr>
            <w:tcW w:w="1349"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bottom"/>
            <w:hideMark/>
          </w:tcPr>
          <w:p w14:paraId="137D1C7D" w14:textId="77777777" w:rsidR="000A44A1" w:rsidRDefault="000A44A1">
            <w:pPr>
              <w:pStyle w:val="NormalWeb"/>
            </w:pPr>
            <w:r>
              <w:rPr>
                <w:b/>
                <w:bCs/>
                <w:color w:val="000000"/>
                <w:sz w:val="21"/>
                <w:szCs w:val="21"/>
              </w:rPr>
              <w:t>2021</w:t>
            </w:r>
          </w:p>
        </w:tc>
        <w:tc>
          <w:tcPr>
            <w:tcW w:w="1617" w:type="dxa"/>
            <w:tcBorders>
              <w:top w:val="nil"/>
              <w:left w:val="nil"/>
              <w:bottom w:val="single" w:sz="8" w:space="0" w:color="000000"/>
              <w:right w:val="single" w:sz="8" w:space="0" w:color="000000"/>
            </w:tcBorders>
            <w:tcMar>
              <w:top w:w="15" w:type="dxa"/>
              <w:left w:w="15" w:type="dxa"/>
              <w:bottom w:w="15" w:type="dxa"/>
              <w:right w:w="15" w:type="dxa"/>
            </w:tcMar>
            <w:vAlign w:val="bottom"/>
            <w:hideMark/>
          </w:tcPr>
          <w:p w14:paraId="41BAA6E0" w14:textId="77777777" w:rsidR="000A44A1" w:rsidRDefault="000A44A1">
            <w:pPr>
              <w:pStyle w:val="NormalWeb"/>
              <w:jc w:val="right"/>
            </w:pPr>
            <w:r>
              <w:rPr>
                <w:color w:val="000000"/>
                <w:sz w:val="21"/>
                <w:szCs w:val="21"/>
              </w:rPr>
              <w:t>20,466</w:t>
            </w:r>
          </w:p>
        </w:tc>
      </w:tr>
      <w:tr w:rsidR="000A44A1" w14:paraId="1864B210" w14:textId="77777777" w:rsidTr="000A44A1">
        <w:trPr>
          <w:trHeight w:val="370"/>
        </w:trPr>
        <w:tc>
          <w:tcPr>
            <w:tcW w:w="1349"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bottom"/>
            <w:hideMark/>
          </w:tcPr>
          <w:p w14:paraId="2010EE9D" w14:textId="77777777" w:rsidR="000A44A1" w:rsidRDefault="000A44A1">
            <w:pPr>
              <w:pStyle w:val="NormalWeb"/>
            </w:pPr>
            <w:r>
              <w:rPr>
                <w:b/>
                <w:bCs/>
                <w:color w:val="000000"/>
                <w:sz w:val="21"/>
                <w:szCs w:val="21"/>
              </w:rPr>
              <w:t>TOTAL</w:t>
            </w:r>
          </w:p>
        </w:tc>
        <w:tc>
          <w:tcPr>
            <w:tcW w:w="1617" w:type="dxa"/>
            <w:tcBorders>
              <w:top w:val="nil"/>
              <w:left w:val="nil"/>
              <w:bottom w:val="single" w:sz="8" w:space="0" w:color="000000"/>
              <w:right w:val="single" w:sz="8" w:space="0" w:color="000000"/>
            </w:tcBorders>
            <w:tcMar>
              <w:top w:w="15" w:type="dxa"/>
              <w:left w:w="15" w:type="dxa"/>
              <w:bottom w:w="15" w:type="dxa"/>
              <w:right w:w="15" w:type="dxa"/>
            </w:tcMar>
            <w:vAlign w:val="bottom"/>
            <w:hideMark/>
          </w:tcPr>
          <w:p w14:paraId="449EBA7A" w14:textId="77777777" w:rsidR="000A44A1" w:rsidRDefault="000A44A1">
            <w:pPr>
              <w:pStyle w:val="NormalWeb"/>
              <w:jc w:val="right"/>
            </w:pPr>
            <w:r>
              <w:rPr>
                <w:color w:val="000000"/>
                <w:sz w:val="21"/>
                <w:szCs w:val="21"/>
              </w:rPr>
              <w:t>62,784</w:t>
            </w:r>
          </w:p>
        </w:tc>
      </w:tr>
    </w:tbl>
    <w:p w14:paraId="6A0FDE2F" w14:textId="77777777" w:rsidR="000A44A1" w:rsidRDefault="000A44A1" w:rsidP="000A44A1">
      <w:pPr>
        <w:rPr>
          <w:rFonts w:ascii="Aptos" w:eastAsia="Times New Roman" w:hAnsi="Aptos"/>
          <w:color w:val="000000"/>
          <w:sz w:val="24"/>
          <w:szCs w:val="24"/>
        </w:rPr>
      </w:pPr>
    </w:p>
    <w:p w14:paraId="7DCBB120" w14:textId="77777777" w:rsidR="000A44A1" w:rsidRDefault="000A44A1" w:rsidP="000A44A1">
      <w:pPr>
        <w:numPr>
          <w:ilvl w:val="0"/>
          <w:numId w:val="1"/>
        </w:numPr>
        <w:spacing w:before="100" w:beforeAutospacing="1" w:after="240"/>
        <w:rPr>
          <w:rFonts w:ascii="Aptos" w:eastAsia="Times New Roman" w:hAnsi="Aptos"/>
          <w:color w:val="000000"/>
          <w:sz w:val="24"/>
          <w:szCs w:val="24"/>
        </w:rPr>
      </w:pPr>
      <w:r>
        <w:rPr>
          <w:rFonts w:ascii="Aptos" w:eastAsia="Times New Roman" w:hAnsi="Aptos"/>
          <w:color w:val="000000"/>
          <w:sz w:val="24"/>
          <w:szCs w:val="24"/>
        </w:rPr>
        <w:t>Our most recent DEI Dataset, which includes all the nonprofits in the county, including Mass, for which we have demographic details that have been self-reported to Candid </w:t>
      </w:r>
    </w:p>
    <w:p w14:paraId="28988E0F" w14:textId="6182BB34" w:rsidR="000A44A1" w:rsidRPr="004557A1" w:rsidRDefault="000A44A1" w:rsidP="004557A1">
      <w:pPr>
        <w:numPr>
          <w:ilvl w:val="0"/>
          <w:numId w:val="1"/>
        </w:numPr>
        <w:shd w:val="clear" w:color="auto" w:fill="FFFFFF"/>
        <w:spacing w:before="100" w:beforeAutospacing="1" w:after="100" w:afterAutospacing="1"/>
        <w:rPr>
          <w:rFonts w:ascii="Aptos" w:eastAsia="Times New Roman" w:hAnsi="Aptos"/>
          <w:color w:val="000000"/>
          <w:sz w:val="24"/>
          <w:szCs w:val="24"/>
        </w:rPr>
      </w:pPr>
      <w:r>
        <w:rPr>
          <w:rFonts w:ascii="Aptos" w:eastAsia="Times New Roman" w:hAnsi="Aptos"/>
          <w:color w:val="000000"/>
          <w:sz w:val="24"/>
          <w:szCs w:val="24"/>
        </w:rPr>
        <w:t xml:space="preserve">The "Grants Plus" bundle (fields listed below) for the </w:t>
      </w:r>
      <w:r>
        <w:rPr>
          <w:rFonts w:eastAsia="Times New Roman"/>
          <w:color w:val="000000"/>
          <w:shd w:val="clear" w:color="auto" w:fill="FFFFFF"/>
        </w:rPr>
        <w:t>1837 grants matching your criteria for years 2019, 2022 2021 (keep in mind this number seems low because your scope is very specific). To maximize your grants budget, you may request an additional 6,163 grants plus records for a total of 8,000 within the calendar year 2024 with one more additional delivery at a TBD date. </w:t>
      </w:r>
      <w:r w:rsidR="004557A1">
        <w:rPr>
          <w:rFonts w:ascii="Aptos" w:eastAsia="Times New Roman" w:hAnsi="Aptos"/>
          <w:color w:val="000000"/>
          <w:sz w:val="24"/>
          <w:szCs w:val="24"/>
        </w:rPr>
        <w:t xml:space="preserve"> </w:t>
      </w:r>
      <w:r w:rsidRPr="004557A1">
        <w:rPr>
          <w:rFonts w:eastAsia="Times New Roman"/>
          <w:color w:val="000000"/>
          <w:highlight w:val="yellow"/>
          <w:shd w:val="clear" w:color="auto" w:fill="FFFFFF"/>
        </w:rPr>
        <w:t>Add 2015 grants to this request</w:t>
      </w:r>
    </w:p>
    <w:p w14:paraId="471054D7" w14:textId="77777777" w:rsidR="000A44A1" w:rsidRDefault="000A44A1" w:rsidP="000A44A1">
      <w:pPr>
        <w:spacing w:before="100" w:beforeAutospacing="1" w:after="100" w:afterAutospacing="1"/>
        <w:ind w:left="720"/>
        <w:rPr>
          <w:rFonts w:ascii="Aptos" w:eastAsia="Times New Roman" w:hAnsi="Aptos"/>
          <w:color w:val="000000"/>
          <w:sz w:val="24"/>
          <w:szCs w:val="24"/>
        </w:rPr>
      </w:pPr>
    </w:p>
    <w:p w14:paraId="1AC38BBC" w14:textId="77777777" w:rsidR="006E6022" w:rsidRDefault="006E6022"/>
    <w:sectPr w:rsidR="006E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D3D50"/>
    <w:multiLevelType w:val="multilevel"/>
    <w:tmpl w:val="E0303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6158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A1"/>
    <w:rsid w:val="000A44A1"/>
    <w:rsid w:val="004557A1"/>
    <w:rsid w:val="006E6022"/>
    <w:rsid w:val="008B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2C6D"/>
  <w15:chartTrackingRefBased/>
  <w15:docId w15:val="{C479E33F-9655-4400-8155-CD9588F8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A1"/>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 Mukai</dc:creator>
  <cp:keywords/>
  <dc:description/>
  <cp:lastModifiedBy>Reina Mukai</cp:lastModifiedBy>
  <cp:revision>3</cp:revision>
  <dcterms:created xsi:type="dcterms:W3CDTF">2024-01-11T14:36:00Z</dcterms:created>
  <dcterms:modified xsi:type="dcterms:W3CDTF">2024-01-17T14:24:00Z</dcterms:modified>
</cp:coreProperties>
</file>