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Retail Customer Segmentation</w:t>
        <w:br/>
      </w:r>
      <w:r>
        <w:t>&amp; Sales Analysis</w:t>
      </w:r>
    </w:p>
    <w:p>
      <w:pPr>
        <w:spacing w:after="520"/>
        <w:jc w:val="center"/>
      </w:pPr>
      <w:r>
        <w:rPr>
          <w:b w:val="0"/>
          <w:i/>
          <w:color w:val="4A4A48"/>
          <w:sz w:val="26"/>
        </w:rPr>
        <w:t>Who the customers of a UK online gift retailer actually are, what they are worth, and which of them are quietly leaving</w:t>
      </w:r>
    </w:p>
    <w:p>
      <w:pPr>
        <w:spacing w:after="80"/>
        <w:jc w:val="center"/>
      </w:pPr>
      <w:r>
        <w:rPr>
          <w:b/>
          <w:i w:val="0"/>
          <w:sz w:val="24"/>
        </w:rPr>
        <w:t>Capstone Project Report</w:t>
      </w:r>
    </w:p>
    <w:p>
      <w:pPr>
        <w:spacing w:after="40"/>
        <w:jc w:val="center"/>
      </w:pPr>
      <w:r>
        <w:rPr>
          <w:b w:val="0"/>
          <w:i w:val="0"/>
          <w:color w:val="4A4A48"/>
          <w:sz w:val="22"/>
        </w:rPr>
        <w:t>IBM SkillsBuild Data Analytics with AI Academic Internship Programme</w:t>
      </w:r>
    </w:p>
    <w:p>
      <w:pPr>
        <w:spacing w:after="600"/>
        <w:jc w:val="center"/>
      </w:pPr>
      <w:r>
        <w:rPr>
          <w:b w:val="0"/>
          <w:i w:val="0"/>
          <w:color w:val="4A4A48"/>
          <w:sz w:val="22"/>
        </w:rPr>
        <w:t>Conducted by BharatCares in association with AICTE</w:t>
      </w:r>
    </w:p>
    <w:p>
      <w:pPr>
        <w:spacing w:before="40" w:after="40"/>
        <w:jc w:val="left"/>
      </w:pPr>
      <w:r>
        <w:rPr>
          <w:b w:val="0"/>
          <w:i/>
          <w:color w:val="77776F"/>
          <w:sz w:val="17"/>
        </w:rPr>
        <w:t>Table 1. Submission details.</w:t>
      </w:r>
    </w:p>
    <w:tbl>
      <w:tblPr>
        <w:tblStyle w:val="LightGrid-Accent1"/>
        <w:tblW w:type="auto" w:w="0"/>
        <w:jc w:val="center"/>
        <w:tblLayout w:type="fixed"/>
        <w:tblLook w:firstColumn="1" w:firstRow="1" w:lastColumn="0" w:lastRow="0" w:noHBand="0" w:noVBand="1" w:val="04A0"/>
      </w:tblPr>
      <w:tblGrid>
        <w:gridCol w:w="4706"/>
        <w:gridCol w:w="4706"/>
      </w:tblGrid>
      <w:tr>
        <w:tc>
          <w:tcPr>
            <w:tcW w:type="dxa" w:w="2232"/>
          </w:tcPr>
          <w:p>
            <w:pPr>
              <w:spacing w:after="20" w:before="20"/>
            </w:pPr>
            <w:r>
              <w:rPr>
                <w:rFonts w:ascii="Calibri" w:hAnsi="Calibri"/>
                <w:b/>
                <w:sz w:val="19"/>
              </w:rPr>
            </w:r>
            <w:r>
              <w:rPr>
                <w:rFonts w:ascii="Calibri" w:hAnsi="Calibri"/>
                <w:b/>
                <w:sz w:val="19"/>
              </w:rPr>
              <w:t>Field</w:t>
            </w:r>
          </w:p>
        </w:tc>
        <w:tc>
          <w:tcPr>
            <w:tcW w:type="dxa" w:w="6624"/>
          </w:tcPr>
          <w:p>
            <w:pPr>
              <w:spacing w:after="20" w:before="20"/>
            </w:pPr>
            <w:r>
              <w:rPr>
                <w:rFonts w:ascii="Calibri" w:hAnsi="Calibri"/>
                <w:b/>
                <w:sz w:val="19"/>
              </w:rPr>
            </w:r>
            <w:r>
              <w:rPr>
                <w:rFonts w:ascii="Calibri" w:hAnsi="Calibri"/>
                <w:b/>
                <w:sz w:val="19"/>
              </w:rPr>
              <w:t>Detail</w:t>
            </w:r>
          </w:p>
        </w:tc>
      </w:tr>
      <w:tr>
        <w:tc>
          <w:tcPr>
            <w:tcW w:type="dxa" w:w="2232"/>
          </w:tcPr>
          <w:p>
            <w:pPr>
              <w:spacing w:after="20" w:before="20"/>
            </w:pPr>
            <w:r>
              <w:rPr>
                <w:rFonts w:ascii="Calibri" w:hAnsi="Calibri"/>
                <w:b w:val="0"/>
                <w:sz w:val="19"/>
              </w:rPr>
            </w:r>
            <w:r>
              <w:rPr>
                <w:rFonts w:ascii="Calibri" w:hAnsi="Calibri"/>
                <w:b w:val="0"/>
                <w:sz w:val="19"/>
              </w:rPr>
              <w:t>Submitted by</w:t>
            </w:r>
          </w:p>
        </w:tc>
        <w:tc>
          <w:tcPr>
            <w:tcW w:type="dxa" w:w="6624"/>
          </w:tcPr>
          <w:p>
            <w:pPr>
              <w:spacing w:after="20" w:before="20"/>
            </w:pPr>
            <w:r>
              <w:rPr>
                <w:rFonts w:ascii="Calibri" w:hAnsi="Calibri"/>
                <w:b w:val="0"/>
                <w:sz w:val="19"/>
              </w:rPr>
            </w:r>
            <w:r>
              <w:rPr>
                <w:rFonts w:ascii="Calibri" w:hAnsi="Calibri"/>
                <w:b w:val="0"/>
                <w:sz w:val="19"/>
              </w:rPr>
              <w:t>Aryan Verma</w:t>
            </w:r>
          </w:p>
        </w:tc>
      </w:tr>
      <w:tr>
        <w:tc>
          <w:tcPr>
            <w:tcW w:type="dxa" w:w="2232"/>
          </w:tcPr>
          <w:p>
            <w:pPr>
              <w:spacing w:after="20" w:before="20"/>
            </w:pPr>
            <w:r>
              <w:rPr>
                <w:rFonts w:ascii="Calibri" w:hAnsi="Calibri"/>
                <w:b w:val="0"/>
                <w:sz w:val="19"/>
              </w:rPr>
            </w:r>
            <w:r>
              <w:rPr>
                <w:rFonts w:ascii="Calibri" w:hAnsi="Calibri"/>
                <w:b w:val="0"/>
                <w:sz w:val="19"/>
              </w:rPr>
              <w:t>Project title</w:t>
            </w:r>
          </w:p>
        </w:tc>
        <w:tc>
          <w:tcPr>
            <w:tcW w:type="dxa" w:w="6624"/>
          </w:tcPr>
          <w:p>
            <w:pPr>
              <w:spacing w:after="20" w:before="20"/>
            </w:pPr>
            <w:r>
              <w:rPr>
                <w:rFonts w:ascii="Calibri" w:hAnsi="Calibri"/>
                <w:b w:val="0"/>
                <w:sz w:val="19"/>
              </w:rPr>
            </w:r>
            <w:r>
              <w:rPr>
                <w:rFonts w:ascii="Calibri" w:hAnsi="Calibri"/>
                <w:b w:val="0"/>
                <w:sz w:val="19"/>
              </w:rPr>
              <w:t>Retail Customer Segmentation &amp; Sales Analysis</w:t>
            </w:r>
          </w:p>
        </w:tc>
      </w:tr>
      <w:tr>
        <w:tc>
          <w:tcPr>
            <w:tcW w:type="dxa" w:w="2232"/>
          </w:tcPr>
          <w:p>
            <w:pPr>
              <w:spacing w:after="20" w:before="20"/>
            </w:pPr>
            <w:r>
              <w:rPr>
                <w:rFonts w:ascii="Calibri" w:hAnsi="Calibri"/>
                <w:b w:val="0"/>
                <w:sz w:val="19"/>
              </w:rPr>
            </w:r>
            <w:r>
              <w:rPr>
                <w:rFonts w:ascii="Calibri" w:hAnsi="Calibri"/>
                <w:b w:val="0"/>
                <w:sz w:val="19"/>
              </w:rPr>
              <w:t>Dataset</w:t>
            </w:r>
          </w:p>
        </w:tc>
        <w:tc>
          <w:tcPr>
            <w:tcW w:type="dxa" w:w="6624"/>
          </w:tcPr>
          <w:p>
            <w:pPr>
              <w:spacing w:after="20" w:before="20"/>
            </w:pPr>
            <w:r>
              <w:rPr>
                <w:rFonts w:ascii="Calibri" w:hAnsi="Calibri"/>
                <w:b w:val="0"/>
                <w:sz w:val="19"/>
              </w:rPr>
            </w:r>
            <w:r>
              <w:rPr>
                <w:rFonts w:ascii="Calibri" w:hAnsi="Calibri"/>
                <w:b w:val="0"/>
                <w:sz w:val="19"/>
              </w:rPr>
              <w:t>UCI Machine Learning Repository - Online Retail II (https://archive.ics.uci.edu/dataset/502/online+retail+ii)</w:t>
            </w:r>
          </w:p>
        </w:tc>
      </w:tr>
      <w:tr>
        <w:tc>
          <w:tcPr>
            <w:tcW w:type="dxa" w:w="2232"/>
          </w:tcPr>
          <w:p>
            <w:pPr>
              <w:spacing w:after="20" w:before="20"/>
            </w:pPr>
            <w:r>
              <w:rPr>
                <w:rFonts w:ascii="Calibri" w:hAnsi="Calibri"/>
                <w:b w:val="0"/>
                <w:sz w:val="19"/>
              </w:rPr>
            </w:r>
            <w:r>
              <w:rPr>
                <w:rFonts w:ascii="Calibri" w:hAnsi="Calibri"/>
                <w:b w:val="0"/>
                <w:sz w:val="19"/>
              </w:rPr>
              <w:t>Records analysed</w:t>
            </w:r>
          </w:p>
        </w:tc>
        <w:tc>
          <w:tcPr>
            <w:tcW w:type="dxa" w:w="6624"/>
          </w:tcPr>
          <w:p>
            <w:pPr>
              <w:spacing w:after="20" w:before="20"/>
            </w:pPr>
            <w:r>
              <w:rPr>
                <w:rFonts w:ascii="Calibri" w:hAnsi="Calibri"/>
                <w:b w:val="0"/>
                <w:sz w:val="19"/>
              </w:rPr>
            </w:r>
            <w:r>
              <w:rPr>
                <w:rFonts w:ascii="Calibri" w:hAnsi="Calibri"/>
                <w:b w:val="0"/>
                <w:sz w:val="19"/>
              </w:rPr>
              <w:t>1,067,371 transaction lines, 1 December 2009 to 9 December 2011</w:t>
            </w:r>
          </w:p>
        </w:tc>
      </w:tr>
      <w:tr>
        <w:tc>
          <w:tcPr>
            <w:tcW w:type="dxa" w:w="2232"/>
          </w:tcPr>
          <w:p>
            <w:pPr>
              <w:spacing w:after="20" w:before="20"/>
            </w:pPr>
            <w:r>
              <w:rPr>
                <w:rFonts w:ascii="Calibri" w:hAnsi="Calibri"/>
                <w:b w:val="0"/>
                <w:sz w:val="19"/>
              </w:rPr>
            </w:r>
            <w:r>
              <w:rPr>
                <w:rFonts w:ascii="Calibri" w:hAnsi="Calibri"/>
                <w:b w:val="0"/>
                <w:sz w:val="19"/>
              </w:rPr>
              <w:t>Code file</w:t>
            </w:r>
          </w:p>
        </w:tc>
        <w:tc>
          <w:tcPr>
            <w:tcW w:type="dxa" w:w="6624"/>
          </w:tcPr>
          <w:p>
            <w:pPr>
              <w:spacing w:after="20" w:before="20"/>
            </w:pPr>
            <w:r>
              <w:rPr>
                <w:rFonts w:ascii="Calibri" w:hAnsi="Calibri"/>
                <w:b w:val="0"/>
                <w:sz w:val="19"/>
              </w:rPr>
            </w:r>
            <w:r>
              <w:rPr>
                <w:rFonts w:ascii="Calibri" w:hAnsi="Calibri"/>
                <w:b w:val="0"/>
                <w:sz w:val="19"/>
              </w:rPr>
              <w:t>AryanVerma_RetailCustomerSegmentationAnalysis.ipynb</w:t>
            </w:r>
          </w:p>
        </w:tc>
      </w:tr>
      <w:tr>
        <w:tc>
          <w:tcPr>
            <w:tcW w:type="dxa" w:w="2232"/>
          </w:tcPr>
          <w:p>
            <w:pPr>
              <w:spacing w:after="20" w:before="20"/>
            </w:pPr>
            <w:r>
              <w:rPr>
                <w:rFonts w:ascii="Calibri" w:hAnsi="Calibri"/>
                <w:b w:val="0"/>
                <w:sz w:val="19"/>
              </w:rPr>
            </w:r>
            <w:r>
              <w:rPr>
                <w:rFonts w:ascii="Calibri" w:hAnsi="Calibri"/>
                <w:b w:val="0"/>
                <w:sz w:val="19"/>
              </w:rPr>
              <w:t>Language / stack</w:t>
            </w:r>
          </w:p>
        </w:tc>
        <w:tc>
          <w:tcPr>
            <w:tcW w:type="dxa" w:w="6624"/>
          </w:tcPr>
          <w:p>
            <w:pPr>
              <w:spacing w:after="20" w:before="20"/>
            </w:pPr>
            <w:r>
              <w:rPr>
                <w:rFonts w:ascii="Calibri" w:hAnsi="Calibri"/>
                <w:b w:val="0"/>
                <w:sz w:val="19"/>
              </w:rPr>
            </w:r>
            <w:r>
              <w:rPr>
                <w:rFonts w:ascii="Calibri" w:hAnsi="Calibri"/>
                <w:b w:val="0"/>
                <w:sz w:val="19"/>
              </w:rPr>
              <w:t>Python 3 - pandas, NumPy, Matplotlib, scikit-learn</w:t>
            </w:r>
          </w:p>
        </w:tc>
      </w:tr>
      <w:tr>
        <w:tc>
          <w:tcPr>
            <w:tcW w:type="dxa" w:w="2232"/>
          </w:tcPr>
          <w:p>
            <w:pPr>
              <w:spacing w:after="20" w:before="20"/>
            </w:pPr>
            <w:r>
              <w:rPr>
                <w:rFonts w:ascii="Calibri" w:hAnsi="Calibri"/>
                <w:b w:val="0"/>
                <w:sz w:val="19"/>
              </w:rPr>
            </w:r>
            <w:r>
              <w:rPr>
                <w:rFonts w:ascii="Calibri" w:hAnsi="Calibri"/>
                <w:b w:val="0"/>
                <w:sz w:val="19"/>
              </w:rPr>
              <w:t>Methods</w:t>
            </w:r>
          </w:p>
        </w:tc>
        <w:tc>
          <w:tcPr>
            <w:tcW w:type="dxa" w:w="6624"/>
          </w:tcPr>
          <w:p>
            <w:pPr>
              <w:spacing w:after="20" w:before="20"/>
            </w:pPr>
            <w:r>
              <w:rPr>
                <w:rFonts w:ascii="Calibri" w:hAnsi="Calibri"/>
                <w:b w:val="0"/>
                <w:sz w:val="19"/>
              </w:rPr>
            </w:r>
            <w:r>
              <w:rPr>
                <w:rFonts w:ascii="Calibri" w:hAnsi="Calibri"/>
                <w:b w:val="0"/>
                <w:sz w:val="19"/>
              </w:rPr>
              <w:t>Data cleaning audit, EDA, RFM segmentation, K-Means clustering, CLV estimation, cohort retention</w:t>
            </w:r>
          </w:p>
        </w:tc>
      </w:tr>
      <w:tr>
        <w:tc>
          <w:tcPr>
            <w:tcW w:type="dxa" w:w="2232"/>
          </w:tcPr>
          <w:p>
            <w:pPr>
              <w:spacing w:after="20" w:before="20"/>
            </w:pPr>
            <w:r>
              <w:rPr>
                <w:rFonts w:ascii="Calibri" w:hAnsi="Calibri"/>
                <w:b w:val="0"/>
                <w:sz w:val="19"/>
              </w:rPr>
            </w:r>
            <w:r>
              <w:rPr>
                <w:rFonts w:ascii="Calibri" w:hAnsi="Calibri"/>
                <w:b w:val="0"/>
                <w:sz w:val="19"/>
              </w:rPr>
              <w:t>Report generated</w:t>
            </w:r>
          </w:p>
        </w:tc>
        <w:tc>
          <w:tcPr>
            <w:tcW w:type="dxa" w:w="6624"/>
          </w:tcPr>
          <w:p>
            <w:pPr>
              <w:spacing w:after="20" w:before="20"/>
            </w:pPr>
            <w:r>
              <w:rPr>
                <w:rFonts w:ascii="Calibri" w:hAnsi="Calibri"/>
                <w:b w:val="0"/>
                <w:sz w:val="19"/>
              </w:rPr>
            </w:r>
            <w:r>
              <w:rPr>
                <w:rFonts w:ascii="Calibri" w:hAnsi="Calibri"/>
                <w:b w:val="0"/>
                <w:sz w:val="19"/>
              </w:rPr>
              <w:t>17 September 2026, by tools/build_report.py from outputs/facts.json</w:t>
            </w:r>
          </w:p>
        </w:tc>
      </w:tr>
    </w:tbl>
    <w:p/>
    <w:p/>
    <w:p>
      <w:pPr>
        <w:jc w:val="center"/>
      </w:pPr>
      <w:r>
        <w:rPr>
          <w:b w:val="0"/>
          <w:i/>
          <w:color w:val="77776F"/>
          <w:sz w:val="18"/>
        </w:rPr>
        <w:t xml:space="preserve">Every figure, table and result in this report is computed by the notebook and read from </w:t>
      </w:r>
      <w:r>
        <w:rPr>
          <w:rFonts w:ascii="Consolas" w:hAnsi="Consolas"/>
          <w:b w:val="0"/>
          <w:i/>
          <w:color w:val="77776F"/>
          <w:sz w:val="18"/>
        </w:rPr>
        <w:t>outputs/facts.json</w:t>
      </w:r>
      <w:r>
        <w:rPr>
          <w:b w:val="0"/>
          <w:i/>
          <w:color w:val="77776F"/>
          <w:sz w:val="18"/>
        </w:rPr>
        <w:t>; the software versions are read from the run itself. The only hand-entered values are the wall-clock timings in section 16.</w:t>
      </w:r>
    </w:p>
    <w:p>
      <w:r>
        <w:br w:type="page"/>
      </w:r>
    </w:p>
    <w:p>
      <w:pPr>
        <w:pStyle w:val="Heading1"/>
      </w:pPr>
      <w:r>
        <w:t>Contents</w:t>
      </w:r>
    </w:p>
    <w:p>
      <w:pPr>
        <w:spacing w:after="80"/>
        <w:ind w:left="283"/>
      </w:pPr>
      <w:r>
        <w:rPr>
          <w:b w:val="0"/>
          <w:i w:val="0"/>
          <w:sz w:val="21"/>
        </w:rPr>
        <w:t>1.  Executive summary</w:t>
      </w:r>
    </w:p>
    <w:p>
      <w:pPr>
        <w:spacing w:after="80"/>
        <w:ind w:left="283"/>
      </w:pPr>
      <w:r>
        <w:rPr>
          <w:b w:val="0"/>
          <w:i w:val="0"/>
          <w:sz w:val="21"/>
        </w:rPr>
        <w:t>2.  Introduction and business problem</w:t>
      </w:r>
    </w:p>
    <w:p>
      <w:pPr>
        <w:spacing w:after="80"/>
        <w:ind w:left="283"/>
      </w:pPr>
      <w:r>
        <w:rPr>
          <w:b w:val="0"/>
          <w:i w:val="0"/>
          <w:sz w:val="21"/>
        </w:rPr>
        <w:t>3.  The dataset</w:t>
      </w:r>
    </w:p>
    <w:p>
      <w:pPr>
        <w:spacing w:after="80"/>
        <w:ind w:left="283"/>
      </w:pPr>
      <w:r>
        <w:rPr>
          <w:b w:val="0"/>
          <w:i w:val="0"/>
          <w:sz w:val="21"/>
        </w:rPr>
        <w:t>4.  Tools and technologies</w:t>
      </w:r>
    </w:p>
    <w:p>
      <w:pPr>
        <w:spacing w:after="80"/>
        <w:ind w:left="283"/>
      </w:pPr>
      <w:r>
        <w:rPr>
          <w:b w:val="0"/>
          <w:i w:val="0"/>
          <w:sz w:val="21"/>
        </w:rPr>
        <w:t>5.  Methodology</w:t>
      </w:r>
    </w:p>
    <w:p>
      <w:pPr>
        <w:spacing w:after="80"/>
        <w:ind w:left="283"/>
      </w:pPr>
      <w:r>
        <w:rPr>
          <w:b w:val="0"/>
          <w:i w:val="0"/>
          <w:sz w:val="21"/>
        </w:rPr>
        <w:t>6.  Data cleaning and its audit trail</w:t>
      </w:r>
    </w:p>
    <w:p>
      <w:pPr>
        <w:spacing w:after="80"/>
        <w:ind w:left="283"/>
      </w:pPr>
      <w:r>
        <w:rPr>
          <w:b w:val="0"/>
          <w:i w:val="0"/>
          <w:sz w:val="21"/>
        </w:rPr>
        <w:t>7.  Exploratory analysis</w:t>
      </w:r>
    </w:p>
    <w:p>
      <w:pPr>
        <w:spacing w:after="80"/>
        <w:ind w:left="283"/>
      </w:pPr>
      <w:r>
        <w:rPr>
          <w:b w:val="0"/>
          <w:i w:val="0"/>
          <w:sz w:val="21"/>
        </w:rPr>
        <w:t>8.  Customer segmentation - RFM</w:t>
      </w:r>
    </w:p>
    <w:p>
      <w:pPr>
        <w:spacing w:after="80"/>
        <w:ind w:left="283"/>
      </w:pPr>
      <w:r>
        <w:rPr>
          <w:b w:val="0"/>
          <w:i w:val="0"/>
          <w:sz w:val="21"/>
        </w:rPr>
        <w:t>9.  Customer segmentation - K-Means</w:t>
      </w:r>
    </w:p>
    <w:p>
      <w:pPr>
        <w:spacing w:after="80"/>
        <w:ind w:left="283"/>
      </w:pPr>
      <w:r>
        <w:rPr>
          <w:b w:val="0"/>
          <w:i w:val="0"/>
          <w:sz w:val="21"/>
        </w:rPr>
        <w:t>10. Customer lifetime value</w:t>
      </w:r>
    </w:p>
    <w:p>
      <w:pPr>
        <w:spacing w:after="80"/>
        <w:ind w:left="283"/>
      </w:pPr>
      <w:r>
        <w:rPr>
          <w:b w:val="0"/>
          <w:i w:val="0"/>
          <w:sz w:val="21"/>
        </w:rPr>
        <w:t>11. Cohort retention</w:t>
      </w:r>
    </w:p>
    <w:p>
      <w:pPr>
        <w:spacing w:after="80"/>
        <w:ind w:left="283"/>
      </w:pPr>
      <w:r>
        <w:rPr>
          <w:b w:val="0"/>
          <w:i w:val="0"/>
          <w:sz w:val="21"/>
        </w:rPr>
        <w:t>12. Key findings</w:t>
      </w:r>
    </w:p>
    <w:p>
      <w:pPr>
        <w:spacing w:after="80"/>
        <w:ind w:left="283"/>
      </w:pPr>
      <w:r>
        <w:rPr>
          <w:b w:val="0"/>
          <w:i w:val="0"/>
          <w:sz w:val="21"/>
        </w:rPr>
        <w:t>13. Recommendations</w:t>
      </w:r>
    </w:p>
    <w:p>
      <w:pPr>
        <w:spacing w:after="80"/>
        <w:ind w:left="283"/>
      </w:pPr>
      <w:r>
        <w:rPr>
          <w:b w:val="0"/>
          <w:i w:val="0"/>
          <w:sz w:val="21"/>
        </w:rPr>
        <w:t>14. Limitations</w:t>
      </w:r>
    </w:p>
    <w:p>
      <w:pPr>
        <w:spacing w:after="80"/>
        <w:ind w:left="283"/>
      </w:pPr>
      <w:r>
        <w:rPr>
          <w:b w:val="0"/>
          <w:i w:val="0"/>
          <w:sz w:val="21"/>
        </w:rPr>
        <w:t>15. Conclusion</w:t>
      </w:r>
    </w:p>
    <w:p>
      <w:pPr>
        <w:spacing w:after="80"/>
        <w:ind w:left="283"/>
      </w:pPr>
      <w:r>
        <w:rPr>
          <w:b w:val="0"/>
          <w:i w:val="0"/>
          <w:sz w:val="21"/>
        </w:rPr>
        <w:t>16. How to reproduce this project</w:t>
      </w:r>
    </w:p>
    <w:p>
      <w:pPr>
        <w:spacing w:after="80"/>
        <w:ind w:left="283"/>
      </w:pPr>
      <w:r>
        <w:rPr>
          <w:b w:val="0"/>
          <w:i w:val="0"/>
          <w:sz w:val="21"/>
        </w:rPr>
        <w:t>17. References</w:t>
      </w:r>
    </w:p>
    <w:p>
      <w:r>
        <w:br w:type="page"/>
      </w:r>
    </w:p>
    <w:p>
      <w:pPr>
        <w:pStyle w:val="Heading1"/>
      </w:pPr>
      <w:r>
        <w:t>1.  Executive summary</w:t>
      </w:r>
    </w:p>
    <w:p>
      <w:r>
        <w:rPr>
          <w:b w:val="0"/>
          <w:i w:val="0"/>
        </w:rPr>
        <w:t xml:space="preserve">This project analyses 1,067,371 transaction lines from a UK-based online gift retailer covering 1 December 2009 to 9 December 2011, and answers one question: which customers is this business actually built on, and which of them are leaving? After a documented cleaning pass that retains 96.4% of rows, the analysed base is </w:t>
      </w:r>
      <w:r>
        <w:rPr>
          <w:b/>
          <w:i w:val="0"/>
        </w:rPr>
        <w:t>£20,517,554 of revenue across 39,675 orders, 5,854 identified customers and 4,725 products in 43 countries</w:t>
      </w:r>
      <w:r>
        <w:rPr>
          <w:b w:val="0"/>
          <w:i w:val="0"/>
        </w:rPr>
        <w:t>.</w:t>
      </w:r>
    </w:p>
    <w:p>
      <w:r>
        <w:rPr>
          <w:b w:val="0"/>
          <w:i w:val="0"/>
        </w:rPr>
        <w:t xml:space="preserve">The headline result is concentration. </w:t>
      </w:r>
      <w:r>
        <w:rPr>
          <w:b/>
          <w:i w:val="0"/>
        </w:rPr>
        <w:t>1,170 customers - 20% of the base - produce 77.2% of identified revenue, and the top 1% (58 customers) produce 31.9%.</w:t>
      </w:r>
      <w:r>
        <w:rPr>
          <w:b w:val="0"/>
          <w:i w:val="0"/>
        </w:rPr>
        <w:t xml:space="preserve"> The mean customer is worth £2,994 and the median £889 - a ratio of 3.4x - so any plan addressed to “the average customer” is addressed to nobody. That is the finding that justifies segmenting the base before doing anything else with it.</w:t>
      </w:r>
    </w:p>
    <w:p>
      <w:r>
        <w:rPr>
          <w:b w:val="0"/>
          <w:i w:val="0"/>
        </w:rPr>
        <w:t xml:space="preserve">Rule-based RFM scoring splits the base into nine segments. </w:t>
      </w:r>
      <w:r>
        <w:rPr>
          <w:b/>
          <w:i w:val="0"/>
        </w:rPr>
        <w:t>1,555 Champions (26.6% of customers) carry £12.54M, or 71.5% of identified revenue.</w:t>
      </w:r>
      <w:r>
        <w:rPr>
          <w:b w:val="0"/>
          <w:i w:val="0"/>
        </w:rPr>
        <w:t xml:space="preserve"> A K-Means clustering run on the same log-scaled RFM features, given no rules at all, reproduces that structure: every one of the nine segments sends at least 60% of its members to a single cluster, and 80.5% of customers land in their own segment's modal cluster. Two methods that read the same features but draw their boundaries differently agreeing is evidence the structure is in the data rather than in the thresholds.</w:t>
      </w:r>
    </w:p>
    <w:p>
      <w:r>
        <w:rPr>
          <w:b w:val="0"/>
          <w:i w:val="0"/>
        </w:rPr>
        <w:t xml:space="preserve">The actionable number is smaller and more specific. </w:t>
      </w:r>
      <w:r>
        <w:rPr>
          <w:b/>
          <w:i w:val="0"/>
        </w:rPr>
        <w:t>683 customers who have already spent £1,689,620 (9.6% of identified revenue) have stopped ordering.</w:t>
      </w:r>
      <w:r>
        <w:rPr>
          <w:b w:val="0"/>
          <w:i w:val="0"/>
        </w:rPr>
        <w:t xml:space="preserve"> They are not low-value customers who drifted off; they are proven buyers who went quiet, and they are the only group with a large, individually identified prize attached to contacting them.</w:t>
      </w:r>
    </w:p>
    <w:p>
      <w:r>
        <w:rPr>
          <w:b w:val="0"/>
          <w:i w:val="0"/>
        </w:rPr>
        <w:t xml:space="preserve">Three further results change how the business should read its own reports. Returns total £738,952 - 3.60% of gross revenue - and the rate spikes to 13.30% in January 2011 rather than sitting flat. The single largest line in the file, £168,470 of one product, was cancelled 12 minutes after it was raised, which moves that product from </w:t>
      </w:r>
      <w:r>
        <w:rPr>
          <w:b/>
          <w:i w:val="0"/>
        </w:rPr>
        <w:t>gross rank 4 to net rank 4,711</w:t>
      </w:r>
      <w:r>
        <w:rPr>
          <w:b w:val="0"/>
          <w:i w:val="0"/>
        </w:rPr>
        <w:t>; 7 of the top ten products change position once cancellations are netted off. And customers acquired in the Christmas peak retain at 9.3% by month 3 against 22.3% for every other month - on 2 peak cohorts from a single season, so a lead to test rather than a settled fact.</w:t>
      </w:r>
    </w:p>
    <w:p>
      <w:pPr>
        <w:spacing w:before="40" w:after="40"/>
        <w:jc w:val="left"/>
      </w:pPr>
      <w:r>
        <w:rPr>
          <w:b w:val="0"/>
          <w:i/>
          <w:color w:val="77776F"/>
          <w:sz w:val="17"/>
        </w:rPr>
        <w:t>Table 2. Headline metrics for the cleaned dataset. Computed in section 7 of the notebook.</w:t>
      </w:r>
    </w:p>
    <w:tbl>
      <w:tblPr>
        <w:tblStyle w:val="LightGrid-Accent1"/>
        <w:tblW w:type="auto" w:w="0"/>
        <w:jc w:val="center"/>
        <w:tblLayout w:type="fixed"/>
        <w:tblLook w:firstColumn="1" w:firstRow="1" w:lastColumn="0" w:lastRow="0" w:noHBand="0" w:noVBand="1" w:val="04A0"/>
      </w:tblPr>
      <w:tblGrid>
        <w:gridCol w:w="4706"/>
        <w:gridCol w:w="4706"/>
      </w:tblGrid>
      <w:tr>
        <w:tc>
          <w:tcPr>
            <w:tcW w:type="dxa" w:w="4320"/>
          </w:tcPr>
          <w:p>
            <w:pPr>
              <w:spacing w:after="20" w:before="20"/>
            </w:pPr>
            <w:r>
              <w:rPr>
                <w:rFonts w:ascii="Calibri" w:hAnsi="Calibri"/>
                <w:b/>
                <w:sz w:val="19"/>
              </w:rPr>
            </w:r>
            <w:r>
              <w:rPr>
                <w:rFonts w:ascii="Calibri" w:hAnsi="Calibri"/>
                <w:b/>
                <w:sz w:val="19"/>
              </w:rPr>
              <w:t>Metric</w:t>
            </w:r>
          </w:p>
        </w:tc>
        <w:tc>
          <w:tcPr>
            <w:tcW w:type="dxa" w:w="4536"/>
          </w:tcPr>
          <w:p>
            <w:pPr>
              <w:spacing w:after="20" w:before="20"/>
              <w:jc w:val="right"/>
            </w:pPr>
            <w:r>
              <w:rPr>
                <w:rFonts w:ascii="Calibri" w:hAnsi="Calibri"/>
                <w:b/>
                <w:sz w:val="19"/>
              </w:rPr>
            </w:r>
            <w:r>
              <w:rPr>
                <w:rFonts w:ascii="Calibri" w:hAnsi="Calibri"/>
                <w:b/>
                <w:sz w:val="19"/>
              </w:rPr>
              <w:t>Value</w:t>
            </w:r>
          </w:p>
        </w:tc>
      </w:tr>
      <w:tr>
        <w:tc>
          <w:tcPr>
            <w:tcW w:type="dxa" w:w="4320"/>
          </w:tcPr>
          <w:p>
            <w:pPr>
              <w:spacing w:after="20" w:before="20"/>
            </w:pPr>
            <w:r>
              <w:rPr>
                <w:rFonts w:ascii="Calibri" w:hAnsi="Calibri"/>
                <w:b w:val="0"/>
                <w:sz w:val="19"/>
              </w:rPr>
            </w:r>
            <w:r>
              <w:rPr>
                <w:rFonts w:ascii="Calibri" w:hAnsi="Calibri"/>
                <w:b w:val="0"/>
                <w:sz w:val="19"/>
              </w:rPr>
              <w:t>Total revenue</w:t>
            </w:r>
          </w:p>
        </w:tc>
        <w:tc>
          <w:tcPr>
            <w:tcW w:type="dxa" w:w="4536"/>
          </w:tcPr>
          <w:p>
            <w:pPr>
              <w:spacing w:after="20" w:before="20"/>
              <w:jc w:val="right"/>
            </w:pPr>
            <w:r>
              <w:rPr>
                <w:rFonts w:ascii="Calibri" w:hAnsi="Calibri"/>
                <w:b w:val="0"/>
                <w:sz w:val="19"/>
              </w:rPr>
            </w:r>
            <w:r>
              <w:rPr>
                <w:rFonts w:ascii="Calibri" w:hAnsi="Calibri"/>
                <w:b w:val="0"/>
                <w:sz w:val="19"/>
              </w:rPr>
              <w:t>£20.5M</w:t>
            </w:r>
          </w:p>
        </w:tc>
      </w:tr>
      <w:tr>
        <w:tc>
          <w:tcPr>
            <w:tcW w:type="dxa" w:w="4320"/>
          </w:tcPr>
          <w:p>
            <w:pPr>
              <w:spacing w:after="20" w:before="20"/>
            </w:pPr>
            <w:r>
              <w:rPr>
                <w:rFonts w:ascii="Calibri" w:hAnsi="Calibri"/>
                <w:b w:val="0"/>
                <w:sz w:val="19"/>
              </w:rPr>
            </w:r>
            <w:r>
              <w:rPr>
                <w:rFonts w:ascii="Calibri" w:hAnsi="Calibri"/>
                <w:b w:val="0"/>
                <w:sz w:val="19"/>
              </w:rPr>
              <w:t>Orders (invoices)</w:t>
            </w:r>
          </w:p>
        </w:tc>
        <w:tc>
          <w:tcPr>
            <w:tcW w:type="dxa" w:w="4536"/>
          </w:tcPr>
          <w:p>
            <w:pPr>
              <w:spacing w:after="20" w:before="20"/>
              <w:jc w:val="right"/>
            </w:pPr>
            <w:r>
              <w:rPr>
                <w:rFonts w:ascii="Calibri" w:hAnsi="Calibri"/>
                <w:b w:val="0"/>
                <w:sz w:val="19"/>
              </w:rPr>
            </w:r>
            <w:r>
              <w:rPr>
                <w:rFonts w:ascii="Calibri" w:hAnsi="Calibri"/>
                <w:b w:val="0"/>
                <w:sz w:val="19"/>
              </w:rPr>
              <w:t>39,675</w:t>
            </w:r>
          </w:p>
        </w:tc>
      </w:tr>
      <w:tr>
        <w:tc>
          <w:tcPr>
            <w:tcW w:type="dxa" w:w="4320"/>
          </w:tcPr>
          <w:p>
            <w:pPr>
              <w:spacing w:after="20" w:before="20"/>
            </w:pPr>
            <w:r>
              <w:rPr>
                <w:rFonts w:ascii="Calibri" w:hAnsi="Calibri"/>
                <w:b w:val="0"/>
                <w:sz w:val="19"/>
              </w:rPr>
            </w:r>
            <w:r>
              <w:rPr>
                <w:rFonts w:ascii="Calibri" w:hAnsi="Calibri"/>
                <w:b w:val="0"/>
                <w:sz w:val="19"/>
              </w:rPr>
              <w:t>Identified customers</w:t>
            </w:r>
          </w:p>
        </w:tc>
        <w:tc>
          <w:tcPr>
            <w:tcW w:type="dxa" w:w="4536"/>
          </w:tcPr>
          <w:p>
            <w:pPr>
              <w:spacing w:after="20" w:before="20"/>
              <w:jc w:val="right"/>
            </w:pPr>
            <w:r>
              <w:rPr>
                <w:rFonts w:ascii="Calibri" w:hAnsi="Calibri"/>
                <w:b w:val="0"/>
                <w:sz w:val="19"/>
              </w:rPr>
            </w:r>
            <w:r>
              <w:rPr>
                <w:rFonts w:ascii="Calibri" w:hAnsi="Calibri"/>
                <w:b w:val="0"/>
                <w:sz w:val="19"/>
              </w:rPr>
              <w:t>5,854</w:t>
            </w:r>
          </w:p>
        </w:tc>
      </w:tr>
      <w:tr>
        <w:tc>
          <w:tcPr>
            <w:tcW w:type="dxa" w:w="4320"/>
          </w:tcPr>
          <w:p>
            <w:pPr>
              <w:spacing w:after="20" w:before="20"/>
            </w:pPr>
            <w:r>
              <w:rPr>
                <w:rFonts w:ascii="Calibri" w:hAnsi="Calibri"/>
                <w:b w:val="0"/>
                <w:sz w:val="19"/>
              </w:rPr>
            </w:r>
            <w:r>
              <w:rPr>
                <w:rFonts w:ascii="Calibri" w:hAnsi="Calibri"/>
                <w:b w:val="0"/>
                <w:sz w:val="19"/>
              </w:rPr>
              <w:t>Distinct products sold</w:t>
            </w:r>
          </w:p>
        </w:tc>
        <w:tc>
          <w:tcPr>
            <w:tcW w:type="dxa" w:w="4536"/>
          </w:tcPr>
          <w:p>
            <w:pPr>
              <w:spacing w:after="20" w:before="20"/>
              <w:jc w:val="right"/>
            </w:pPr>
            <w:r>
              <w:rPr>
                <w:rFonts w:ascii="Calibri" w:hAnsi="Calibri"/>
                <w:b w:val="0"/>
                <w:sz w:val="19"/>
              </w:rPr>
            </w:r>
            <w:r>
              <w:rPr>
                <w:rFonts w:ascii="Calibri" w:hAnsi="Calibri"/>
                <w:b w:val="0"/>
                <w:sz w:val="19"/>
              </w:rPr>
              <w:t>4,725</w:t>
            </w:r>
          </w:p>
        </w:tc>
      </w:tr>
      <w:tr>
        <w:tc>
          <w:tcPr>
            <w:tcW w:type="dxa" w:w="4320"/>
          </w:tcPr>
          <w:p>
            <w:pPr>
              <w:spacing w:after="20" w:before="20"/>
            </w:pPr>
            <w:r>
              <w:rPr>
                <w:rFonts w:ascii="Calibri" w:hAnsi="Calibri"/>
                <w:b w:val="0"/>
                <w:sz w:val="19"/>
              </w:rPr>
            </w:r>
            <w:r>
              <w:rPr>
                <w:rFonts w:ascii="Calibri" w:hAnsi="Calibri"/>
                <w:b w:val="0"/>
                <w:sz w:val="19"/>
              </w:rPr>
              <w:t>Countries served</w:t>
            </w:r>
          </w:p>
        </w:tc>
        <w:tc>
          <w:tcPr>
            <w:tcW w:type="dxa" w:w="4536"/>
          </w:tcPr>
          <w:p>
            <w:pPr>
              <w:spacing w:after="20" w:before="20"/>
              <w:jc w:val="right"/>
            </w:pPr>
            <w:r>
              <w:rPr>
                <w:rFonts w:ascii="Calibri" w:hAnsi="Calibri"/>
                <w:b w:val="0"/>
                <w:sz w:val="19"/>
              </w:rPr>
            </w:r>
            <w:r>
              <w:rPr>
                <w:rFonts w:ascii="Calibri" w:hAnsi="Calibri"/>
                <w:b w:val="0"/>
                <w:sz w:val="19"/>
              </w:rPr>
              <w:t>43</w:t>
            </w:r>
          </w:p>
        </w:tc>
      </w:tr>
      <w:tr>
        <w:tc>
          <w:tcPr>
            <w:tcW w:type="dxa" w:w="4320"/>
          </w:tcPr>
          <w:p>
            <w:pPr>
              <w:spacing w:after="20" w:before="20"/>
            </w:pPr>
            <w:r>
              <w:rPr>
                <w:rFonts w:ascii="Calibri" w:hAnsi="Calibri"/>
                <w:b w:val="0"/>
                <w:sz w:val="19"/>
              </w:rPr>
            </w:r>
            <w:r>
              <w:rPr>
                <w:rFonts w:ascii="Calibri" w:hAnsi="Calibri"/>
                <w:b w:val="0"/>
                <w:sz w:val="19"/>
              </w:rPr>
              <w:t>Average order value</w:t>
            </w:r>
          </w:p>
        </w:tc>
        <w:tc>
          <w:tcPr>
            <w:tcW w:type="dxa" w:w="4536"/>
          </w:tcPr>
          <w:p>
            <w:pPr>
              <w:spacing w:after="20" w:before="20"/>
              <w:jc w:val="right"/>
            </w:pPr>
            <w:r>
              <w:rPr>
                <w:rFonts w:ascii="Calibri" w:hAnsi="Calibri"/>
                <w:b w:val="0"/>
                <w:sz w:val="19"/>
              </w:rPr>
            </w:r>
            <w:r>
              <w:rPr>
                <w:rFonts w:ascii="Calibri" w:hAnsi="Calibri"/>
                <w:b w:val="0"/>
                <w:sz w:val="19"/>
              </w:rPr>
              <w:t>£517</w:t>
            </w:r>
          </w:p>
        </w:tc>
      </w:tr>
      <w:tr>
        <w:tc>
          <w:tcPr>
            <w:tcW w:type="dxa" w:w="4320"/>
          </w:tcPr>
          <w:p>
            <w:pPr>
              <w:spacing w:after="20" w:before="20"/>
            </w:pPr>
            <w:r>
              <w:rPr>
                <w:rFonts w:ascii="Calibri" w:hAnsi="Calibri"/>
                <w:b w:val="0"/>
                <w:sz w:val="19"/>
              </w:rPr>
            </w:r>
            <w:r>
              <w:rPr>
                <w:rFonts w:ascii="Calibri" w:hAnsi="Calibri"/>
                <w:b w:val="0"/>
                <w:sz w:val="19"/>
              </w:rPr>
              <w:t>Median order value</w:t>
            </w:r>
          </w:p>
        </w:tc>
        <w:tc>
          <w:tcPr>
            <w:tcW w:type="dxa" w:w="4536"/>
          </w:tcPr>
          <w:p>
            <w:pPr>
              <w:spacing w:after="20" w:before="20"/>
              <w:jc w:val="right"/>
            </w:pPr>
            <w:r>
              <w:rPr>
                <w:rFonts w:ascii="Calibri" w:hAnsi="Calibri"/>
                <w:b w:val="0"/>
                <w:sz w:val="19"/>
              </w:rPr>
            </w:r>
            <w:r>
              <w:rPr>
                <w:rFonts w:ascii="Calibri" w:hAnsi="Calibri"/>
                <w:b w:val="0"/>
                <w:sz w:val="19"/>
              </w:rPr>
              <w:t>£304</w:t>
            </w:r>
          </w:p>
        </w:tc>
      </w:tr>
      <w:tr>
        <w:tc>
          <w:tcPr>
            <w:tcW w:type="dxa" w:w="4320"/>
          </w:tcPr>
          <w:p>
            <w:pPr>
              <w:spacing w:after="20" w:before="20"/>
            </w:pPr>
            <w:r>
              <w:rPr>
                <w:rFonts w:ascii="Calibri" w:hAnsi="Calibri"/>
                <w:b w:val="0"/>
                <w:sz w:val="19"/>
              </w:rPr>
            </w:r>
            <w:r>
              <w:rPr>
                <w:rFonts w:ascii="Calibri" w:hAnsi="Calibri"/>
                <w:b w:val="0"/>
                <w:sz w:val="19"/>
              </w:rPr>
              <w:t>Average lines per order</w:t>
            </w:r>
          </w:p>
        </w:tc>
        <w:tc>
          <w:tcPr>
            <w:tcW w:type="dxa" w:w="4536"/>
          </w:tcPr>
          <w:p>
            <w:pPr>
              <w:spacing w:after="20" w:before="20"/>
              <w:jc w:val="right"/>
            </w:pPr>
            <w:r>
              <w:rPr>
                <w:rFonts w:ascii="Calibri" w:hAnsi="Calibri"/>
                <w:b w:val="0"/>
                <w:sz w:val="19"/>
              </w:rPr>
            </w:r>
            <w:r>
              <w:rPr>
                <w:rFonts w:ascii="Calibri" w:hAnsi="Calibri"/>
                <w:b w:val="0"/>
                <w:sz w:val="19"/>
              </w:rPr>
              <w:t>25.9</w:t>
            </w:r>
          </w:p>
        </w:tc>
      </w:tr>
      <w:tr>
        <w:tc>
          <w:tcPr>
            <w:tcW w:type="dxa" w:w="4320"/>
          </w:tcPr>
          <w:p>
            <w:pPr>
              <w:spacing w:after="20" w:before="20"/>
            </w:pPr>
            <w:r>
              <w:rPr>
                <w:rFonts w:ascii="Calibri" w:hAnsi="Calibri"/>
                <w:b w:val="0"/>
                <w:sz w:val="19"/>
              </w:rPr>
            </w:r>
            <w:r>
              <w:rPr>
                <w:rFonts w:ascii="Calibri" w:hAnsi="Calibri"/>
                <w:b w:val="0"/>
                <w:sz w:val="19"/>
              </w:rPr>
              <w:t>Units sold</w:t>
            </w:r>
          </w:p>
        </w:tc>
        <w:tc>
          <w:tcPr>
            <w:tcW w:type="dxa" w:w="4536"/>
          </w:tcPr>
          <w:p>
            <w:pPr>
              <w:spacing w:after="20" w:before="20"/>
              <w:jc w:val="right"/>
            </w:pPr>
            <w:r>
              <w:rPr>
                <w:rFonts w:ascii="Calibri" w:hAnsi="Calibri"/>
                <w:b w:val="0"/>
                <w:sz w:val="19"/>
              </w:rPr>
            </w:r>
            <w:r>
              <w:rPr>
                <w:rFonts w:ascii="Calibri" w:hAnsi="Calibri"/>
                <w:b w:val="0"/>
                <w:sz w:val="19"/>
              </w:rPr>
              <w:t>11,375,286</w:t>
            </w:r>
          </w:p>
        </w:tc>
      </w:tr>
      <w:tr>
        <w:tc>
          <w:tcPr>
            <w:tcW w:type="dxa" w:w="4320"/>
          </w:tcPr>
          <w:p>
            <w:pPr>
              <w:spacing w:after="20" w:before="20"/>
            </w:pPr>
            <w:r>
              <w:rPr>
                <w:rFonts w:ascii="Calibri" w:hAnsi="Calibri"/>
                <w:b w:val="0"/>
                <w:sz w:val="19"/>
              </w:rPr>
            </w:r>
            <w:r>
              <w:rPr>
                <w:rFonts w:ascii="Calibri" w:hAnsi="Calibri"/>
                <w:b w:val="0"/>
                <w:sz w:val="19"/>
              </w:rPr>
              <w:t>Trading window</w:t>
            </w:r>
          </w:p>
        </w:tc>
        <w:tc>
          <w:tcPr>
            <w:tcW w:type="dxa" w:w="4536"/>
          </w:tcPr>
          <w:p>
            <w:pPr>
              <w:spacing w:after="20" w:before="20"/>
              <w:jc w:val="right"/>
            </w:pPr>
            <w:r>
              <w:rPr>
                <w:rFonts w:ascii="Calibri" w:hAnsi="Calibri"/>
                <w:b w:val="0"/>
                <w:sz w:val="19"/>
              </w:rPr>
            </w:r>
            <w:r>
              <w:rPr>
                <w:rFonts w:ascii="Calibri" w:hAnsi="Calibri"/>
                <w:b w:val="0"/>
                <w:sz w:val="19"/>
              </w:rPr>
              <w:t>01 Dec 2009 to 09 Dec 2011</w:t>
            </w:r>
          </w:p>
        </w:tc>
      </w:tr>
    </w:tbl>
    <w:p/>
    <w:p>
      <w:r>
        <w:rPr>
          <w:b w:val="0"/>
          <w:i w:val="0"/>
        </w:rPr>
        <w:t xml:space="preserve">What this report does not do is equally deliberate. The dataset has no cost of goods, so every value here is revenue and not margin; it contains no campaign data, so nothing here shows that contacting a customer </w:t>
      </w:r>
      <w:r>
        <w:rPr>
          <w:b w:val="0"/>
          <w:i/>
        </w:rPr>
        <w:t>causes</w:t>
      </w:r>
      <w:r>
        <w:rPr>
          <w:b w:val="0"/>
          <w:i w:val="0"/>
        </w:rPr>
        <w:t xml:space="preserve"> a return; and the timestamp records back-office keying rather than customer intent, so it cannot say when customers prefer to shop. Section 14 states all 11 limitations in full.</w:t>
      </w:r>
    </w:p>
    <w:p>
      <w:r>
        <w:br w:type="page"/>
      </w:r>
    </w:p>
    <w:p>
      <w:pPr>
        <w:pStyle w:val="Heading1"/>
      </w:pPr>
      <w:r>
        <w:t>2.  Introduction and business problem</w:t>
      </w:r>
    </w:p>
    <w:p>
      <w:pPr>
        <w:pStyle w:val="Heading2"/>
      </w:pPr>
      <w:r>
        <w:t>2.1  Background</w:t>
      </w:r>
    </w:p>
    <w:p>
      <w:r>
        <w:rPr>
          <w:b w:val="0"/>
          <w:i w:val="0"/>
        </w:rPr>
        <w:t xml:space="preserve">The subject of this analysis is a UK-registered online retailer selling all-occasion giftware, largely to wholesale buyers who resell the stock. Its transaction log for two full trading years is published by the UCI Machine Learning Repository as </w:t>
      </w:r>
      <w:r>
        <w:rPr>
          <w:b w:val="0"/>
          <w:i/>
        </w:rPr>
        <w:t>Online Retail II</w:t>
      </w:r>
      <w:r>
        <w:rPr>
          <w:b w:val="0"/>
          <w:i w:val="0"/>
        </w:rPr>
        <w:t>. Because the log is a real operational extract rather than a teaching file, it carries everything a real extract carries: cancelled invoices, bad-debt adjustments, postage lines mixed in with product lines, guest checkouts with no customer identifier, and duplicate writes.</w:t>
      </w:r>
    </w:p>
    <w:p>
      <w:r>
        <w:rPr>
          <w:b w:val="0"/>
          <w:i w:val="0"/>
        </w:rPr>
        <w:t>A retailer in this position has a specific problem. It knows its total revenue and it knows which products sell, because both come straight off the invoice system. What it does not know is the shape of its customer base - how much of the business depends on how few accounts, which accounts have stopped buying, and whether the customers it acquires in its busiest season are worth the same as the ones it acquires in June.</w:t>
      </w:r>
    </w:p>
    <w:p>
      <w:pPr>
        <w:pStyle w:val="Heading2"/>
      </w:pPr>
      <w:r>
        <w:t>2.2  The business problem</w:t>
      </w:r>
    </w:p>
    <w:p>
      <w:r>
        <w:rPr>
          <w:b/>
          <w:i w:val="0"/>
        </w:rPr>
        <w:t>Marketing and account-management effort is finite, and it is currently being spread without evidence about where it pays back.</w:t>
      </w:r>
      <w:r>
        <w:rPr>
          <w:b w:val="0"/>
          <w:i w:val="0"/>
        </w:rPr>
        <w:t xml:space="preserve"> The analytical problem is to convert a flat transaction log into a segmentation of the customer base that (a) is derived from behaviour rather than assumption, (b) attaches a revenue figure to each segment so effort can be prioritised, and (c) identifies the customers whose spending has stopped while they are still recoverable.</w:t>
      </w:r>
    </w:p>
    <w:p>
      <w:pPr>
        <w:pStyle w:val="Heading2"/>
      </w:pPr>
      <w:r>
        <w:t>2.3  Objectives</w:t>
      </w:r>
    </w:p>
    <w:p>
      <w:pPr>
        <w:spacing w:after="100"/>
        <w:ind w:left="425" w:hanging="425"/>
      </w:pPr>
      <w:r>
        <w:rPr>
          <w:b/>
          <w:i w:val="0"/>
        </w:rPr>
        <w:t>1.</w:t>
      </w:r>
      <w:r>
        <w:rPr>
          <w:b w:val="0"/>
          <w:i w:val="0"/>
        </w:rPr>
        <w:t xml:space="preserve"> Build a reproducible cleaning pipeline for a real transaction log, and record what each rule removes rather than dropping rows silently.</w:t>
      </w:r>
    </w:p>
    <w:p>
      <w:pPr>
        <w:spacing w:after="100"/>
        <w:ind w:left="425" w:hanging="425"/>
      </w:pPr>
      <w:r>
        <w:rPr>
          <w:b/>
          <w:i w:val="0"/>
        </w:rPr>
        <w:t>2.</w:t>
      </w:r>
      <w:r>
        <w:rPr>
          <w:b w:val="0"/>
          <w:i w:val="0"/>
        </w:rPr>
        <w:t xml:space="preserve"> Establish the shape of the business through exploratory analysis: revenue over time, seasonality, products, geography, returns and order-value distribution.</w:t>
      </w:r>
    </w:p>
    <w:p>
      <w:pPr>
        <w:spacing w:after="100"/>
        <w:ind w:left="425" w:hanging="425"/>
      </w:pPr>
      <w:r>
        <w:rPr>
          <w:b/>
          <w:i w:val="0"/>
        </w:rPr>
        <w:t>3.</w:t>
      </w:r>
      <w:r>
        <w:rPr>
          <w:b w:val="0"/>
          <w:i w:val="0"/>
        </w:rPr>
        <w:t xml:space="preserve"> Segment identified customers on Recency, Frequency and Monetary value using an explicit rule-based scheme, and quantify each segment's revenue contribution.</w:t>
      </w:r>
    </w:p>
    <w:p>
      <w:pPr>
        <w:spacing w:after="100"/>
        <w:ind w:left="425" w:hanging="425"/>
      </w:pPr>
      <w:r>
        <w:rPr>
          <w:b/>
          <w:i w:val="0"/>
        </w:rPr>
        <w:t>4.</w:t>
      </w:r>
      <w:r>
        <w:rPr>
          <w:b w:val="0"/>
          <w:i w:val="0"/>
        </w:rPr>
        <w:t xml:space="preserve"> Cross-check that segmentation with unsupervised K-Means clustering on the same features, and report the agreement between the two.</w:t>
      </w:r>
    </w:p>
    <w:p>
      <w:pPr>
        <w:spacing w:after="100"/>
        <w:ind w:left="425" w:hanging="425"/>
      </w:pPr>
      <w:r>
        <w:rPr>
          <w:b/>
          <w:i w:val="0"/>
        </w:rPr>
        <w:t>5.</w:t>
      </w:r>
      <w:r>
        <w:rPr>
          <w:b w:val="0"/>
          <w:i w:val="0"/>
        </w:rPr>
        <w:t xml:space="preserve"> Estimate customer lifetime value per segment, and test the estimate against actual revenue rather than presenting it unchallenged.</w:t>
      </w:r>
    </w:p>
    <w:p>
      <w:pPr>
        <w:spacing w:after="100"/>
        <w:ind w:left="425" w:hanging="425"/>
      </w:pPr>
      <w:r>
        <w:rPr>
          <w:b/>
          <w:i w:val="0"/>
        </w:rPr>
        <w:t>6.</w:t>
      </w:r>
      <w:r>
        <w:rPr>
          <w:b w:val="0"/>
          <w:i w:val="0"/>
        </w:rPr>
        <w:t xml:space="preserve"> Measure retention with a monthly acquisition-cohort matrix, and correct it for the censoring at both ends of the observation window.</w:t>
      </w:r>
    </w:p>
    <w:p>
      <w:pPr>
        <w:spacing w:after="100"/>
        <w:ind w:left="425" w:hanging="425"/>
      </w:pPr>
      <w:r>
        <w:rPr>
          <w:b/>
          <w:i w:val="0"/>
        </w:rPr>
        <w:t>7.</w:t>
      </w:r>
      <w:r>
        <w:rPr>
          <w:b w:val="0"/>
          <w:i w:val="0"/>
        </w:rPr>
        <w:t xml:space="preserve"> Turn the results into recommendations that name the finding and the number behind each one, and state plainly what the data cannot support.</w:t>
      </w:r>
    </w:p>
    <w:p>
      <w:pPr>
        <w:pStyle w:val="Heading2"/>
      </w:pPr>
      <w:r>
        <w:t>2.4  Scope</w:t>
      </w:r>
    </w:p>
    <w:p>
      <w:r>
        <w:rPr>
          <w:b/>
          <w:i w:val="0"/>
        </w:rPr>
        <w:t>In scope:</w:t>
      </w:r>
      <w:r>
        <w:rPr>
          <w:b w:val="0"/>
          <w:i w:val="0"/>
        </w:rPr>
        <w:t xml:space="preserve"> the 1,067,371 transaction lines in the two source sheets, covering 1 December 2009 to 9 December 2011; descriptive and unsupervised analysis; revenue-based valuation.</w:t>
      </w:r>
    </w:p>
    <w:p>
      <w:r>
        <w:rPr>
          <w:b/>
          <w:i w:val="0"/>
        </w:rPr>
        <w:t>Out of scope:</w:t>
      </w:r>
      <w:r>
        <w:rPr>
          <w:b w:val="0"/>
          <w:i w:val="0"/>
        </w:rPr>
        <w:t xml:space="preserve"> profitability (no cost data exists in the file), demographic or firmographic profiling (no customer attributes exist), predictive churn modelling with a probabilistic survival model, and any causal claim about marketing effect. Section 14 explains why each exclusion is a property of the data rather than a shortcut.</w:t>
      </w:r>
    </w:p>
    <w:p>
      <w:r>
        <w:br w:type="page"/>
      </w:r>
    </w:p>
    <w:p>
      <w:pPr>
        <w:pStyle w:val="Heading1"/>
      </w:pPr>
      <w:r>
        <w:t>3.  The dataset</w:t>
      </w:r>
    </w:p>
    <w:p>
      <w:pPr>
        <w:pStyle w:val="Heading2"/>
      </w:pPr>
      <w:r>
        <w:t>3.1  Source</w:t>
      </w:r>
    </w:p>
    <w:p>
      <w:pPr>
        <w:spacing w:before="40" w:after="40"/>
        <w:jc w:val="left"/>
      </w:pPr>
      <w:r>
        <w:rPr>
          <w:b w:val="0"/>
          <w:i/>
          <w:color w:val="77776F"/>
          <w:sz w:val="17"/>
        </w:rPr>
        <w:t>Table 3. Dataset provenance. The notebook downloads this file on first run and caches it under data/raw/; the source workbook is never modified.</w:t>
      </w:r>
    </w:p>
    <w:tbl>
      <w:tblPr>
        <w:tblStyle w:val="LightGrid-Accent1"/>
        <w:tblW w:type="auto" w:w="0"/>
        <w:jc w:val="center"/>
        <w:tblLayout w:type="fixed"/>
        <w:tblLook w:firstColumn="1" w:firstRow="1" w:lastColumn="0" w:lastRow="0" w:noHBand="0" w:noVBand="1" w:val="04A0"/>
      </w:tblPr>
      <w:tblGrid>
        <w:gridCol w:w="4706"/>
        <w:gridCol w:w="4706"/>
      </w:tblGrid>
      <w:tr>
        <w:tc>
          <w:tcPr>
            <w:tcW w:type="dxa" w:w="2088"/>
          </w:tcPr>
          <w:p>
            <w:pPr>
              <w:spacing w:after="20" w:before="20"/>
            </w:pPr>
            <w:r>
              <w:rPr>
                <w:rFonts w:ascii="Calibri" w:hAnsi="Calibri"/>
                <w:b/>
                <w:sz w:val="19"/>
              </w:rPr>
            </w:r>
            <w:r>
              <w:rPr>
                <w:rFonts w:ascii="Calibri" w:hAnsi="Calibri"/>
                <w:b/>
                <w:sz w:val="19"/>
              </w:rPr>
              <w:t>Attribute</w:t>
            </w:r>
          </w:p>
        </w:tc>
        <w:tc>
          <w:tcPr>
            <w:tcW w:type="dxa" w:w="6768"/>
          </w:tcPr>
          <w:p>
            <w:pPr>
              <w:spacing w:after="20" w:before="20"/>
            </w:pPr>
            <w:r>
              <w:rPr>
                <w:rFonts w:ascii="Calibri" w:hAnsi="Calibri"/>
                <w:b/>
                <w:sz w:val="19"/>
              </w:rPr>
            </w:r>
            <w:r>
              <w:rPr>
                <w:rFonts w:ascii="Calibri" w:hAnsi="Calibri"/>
                <w:b/>
                <w:sz w:val="19"/>
              </w:rPr>
              <w:t>Detail</w:t>
            </w:r>
          </w:p>
        </w:tc>
      </w:tr>
      <w:tr>
        <w:tc>
          <w:tcPr>
            <w:tcW w:type="dxa" w:w="2088"/>
          </w:tcPr>
          <w:p>
            <w:pPr>
              <w:spacing w:after="20" w:before="20"/>
            </w:pPr>
            <w:r>
              <w:rPr>
                <w:rFonts w:ascii="Calibri" w:hAnsi="Calibri"/>
                <w:b w:val="0"/>
                <w:sz w:val="19"/>
              </w:rPr>
            </w:r>
            <w:r>
              <w:rPr>
                <w:rFonts w:ascii="Calibri" w:hAnsi="Calibri"/>
                <w:b w:val="0"/>
                <w:sz w:val="19"/>
              </w:rPr>
              <w:t>Name</w:t>
            </w:r>
          </w:p>
        </w:tc>
        <w:tc>
          <w:tcPr>
            <w:tcW w:type="dxa" w:w="6768"/>
          </w:tcPr>
          <w:p>
            <w:pPr>
              <w:spacing w:after="20" w:before="20"/>
            </w:pPr>
            <w:r>
              <w:rPr>
                <w:rFonts w:ascii="Calibri" w:hAnsi="Calibri"/>
                <w:b w:val="0"/>
                <w:sz w:val="19"/>
              </w:rPr>
            </w:r>
            <w:r>
              <w:rPr>
                <w:rFonts w:ascii="Calibri" w:hAnsi="Calibri"/>
                <w:b w:val="0"/>
                <w:sz w:val="19"/>
              </w:rPr>
              <w:t>Online Retail II</w:t>
            </w:r>
          </w:p>
        </w:tc>
      </w:tr>
      <w:tr>
        <w:tc>
          <w:tcPr>
            <w:tcW w:type="dxa" w:w="2088"/>
          </w:tcPr>
          <w:p>
            <w:pPr>
              <w:spacing w:after="20" w:before="20"/>
            </w:pPr>
            <w:r>
              <w:rPr>
                <w:rFonts w:ascii="Calibri" w:hAnsi="Calibri"/>
                <w:b w:val="0"/>
                <w:sz w:val="19"/>
              </w:rPr>
            </w:r>
            <w:r>
              <w:rPr>
                <w:rFonts w:ascii="Calibri" w:hAnsi="Calibri"/>
                <w:b w:val="0"/>
                <w:sz w:val="19"/>
              </w:rPr>
              <w:t>Publisher</w:t>
            </w:r>
          </w:p>
        </w:tc>
        <w:tc>
          <w:tcPr>
            <w:tcW w:type="dxa" w:w="6768"/>
          </w:tcPr>
          <w:p>
            <w:pPr>
              <w:spacing w:after="20" w:before="20"/>
            </w:pPr>
            <w:r>
              <w:rPr>
                <w:rFonts w:ascii="Calibri" w:hAnsi="Calibri"/>
                <w:b w:val="0"/>
                <w:sz w:val="19"/>
              </w:rPr>
            </w:r>
            <w:r>
              <w:rPr>
                <w:rFonts w:ascii="Calibri" w:hAnsi="Calibri"/>
                <w:b w:val="0"/>
                <w:sz w:val="19"/>
              </w:rPr>
              <w:t>UCI Machine Learning Repository (dataset 502)</w:t>
            </w:r>
          </w:p>
        </w:tc>
      </w:tr>
      <w:tr>
        <w:tc>
          <w:tcPr>
            <w:tcW w:type="dxa" w:w="2088"/>
          </w:tcPr>
          <w:p>
            <w:pPr>
              <w:spacing w:after="20" w:before="20"/>
            </w:pPr>
            <w:r>
              <w:rPr>
                <w:rFonts w:ascii="Calibri" w:hAnsi="Calibri"/>
                <w:b w:val="0"/>
                <w:sz w:val="19"/>
              </w:rPr>
            </w:r>
            <w:r>
              <w:rPr>
                <w:rFonts w:ascii="Calibri" w:hAnsi="Calibri"/>
                <w:b w:val="0"/>
                <w:sz w:val="19"/>
              </w:rPr>
              <w:t>Link</w:t>
            </w:r>
          </w:p>
        </w:tc>
        <w:tc>
          <w:tcPr>
            <w:tcW w:type="dxa" w:w="6768"/>
          </w:tcPr>
          <w:p>
            <w:pPr>
              <w:spacing w:after="20" w:before="20"/>
            </w:pPr>
            <w:r>
              <w:rPr>
                <w:rFonts w:ascii="Calibri" w:hAnsi="Calibri"/>
                <w:b w:val="0"/>
                <w:sz w:val="19"/>
              </w:rPr>
            </w:r>
            <w:r>
              <w:rPr>
                <w:rFonts w:ascii="Calibri" w:hAnsi="Calibri"/>
                <w:b w:val="0"/>
                <w:sz w:val="19"/>
              </w:rPr>
              <w:t>https://archive.ics.uci.edu/dataset/502/online+retail+ii</w:t>
            </w:r>
          </w:p>
        </w:tc>
      </w:tr>
      <w:tr>
        <w:tc>
          <w:tcPr>
            <w:tcW w:type="dxa" w:w="2088"/>
          </w:tcPr>
          <w:p>
            <w:pPr>
              <w:spacing w:after="20" w:before="20"/>
            </w:pPr>
            <w:r>
              <w:rPr>
                <w:rFonts w:ascii="Calibri" w:hAnsi="Calibri"/>
                <w:b w:val="0"/>
                <w:sz w:val="19"/>
              </w:rPr>
            </w:r>
            <w:r>
              <w:rPr>
                <w:rFonts w:ascii="Calibri" w:hAnsi="Calibri"/>
                <w:b w:val="0"/>
                <w:sz w:val="19"/>
              </w:rPr>
              <w:t>Direct download</w:t>
            </w:r>
          </w:p>
        </w:tc>
        <w:tc>
          <w:tcPr>
            <w:tcW w:type="dxa" w:w="6768"/>
          </w:tcPr>
          <w:p>
            <w:pPr>
              <w:spacing w:after="20" w:before="20"/>
            </w:pPr>
            <w:r>
              <w:rPr>
                <w:rFonts w:ascii="Calibri" w:hAnsi="Calibri"/>
                <w:b w:val="0"/>
                <w:sz w:val="19"/>
              </w:rPr>
            </w:r>
            <w:r>
              <w:rPr>
                <w:rFonts w:ascii="Calibri" w:hAnsi="Calibri"/>
                <w:b w:val="0"/>
                <w:sz w:val="19"/>
              </w:rPr>
              <w:t>https://archive.ics.uci.edu/static/public/502/online+retail+ii.zip</w:t>
            </w:r>
          </w:p>
        </w:tc>
      </w:tr>
      <w:tr>
        <w:tc>
          <w:tcPr>
            <w:tcW w:type="dxa" w:w="2088"/>
          </w:tcPr>
          <w:p>
            <w:pPr>
              <w:spacing w:after="20" w:before="20"/>
            </w:pPr>
            <w:r>
              <w:rPr>
                <w:rFonts w:ascii="Calibri" w:hAnsi="Calibri"/>
                <w:b w:val="0"/>
                <w:sz w:val="19"/>
              </w:rPr>
            </w:r>
            <w:r>
              <w:rPr>
                <w:rFonts w:ascii="Calibri" w:hAnsi="Calibri"/>
                <w:b w:val="0"/>
                <w:sz w:val="19"/>
              </w:rPr>
              <w:t>Donated by</w:t>
            </w:r>
          </w:p>
        </w:tc>
        <w:tc>
          <w:tcPr>
            <w:tcW w:type="dxa" w:w="6768"/>
          </w:tcPr>
          <w:p>
            <w:pPr>
              <w:spacing w:after="20" w:before="20"/>
            </w:pPr>
            <w:r>
              <w:rPr>
                <w:rFonts w:ascii="Calibri" w:hAnsi="Calibri"/>
                <w:b w:val="0"/>
                <w:sz w:val="19"/>
              </w:rPr>
            </w:r>
            <w:r>
              <w:rPr>
                <w:rFonts w:ascii="Calibri" w:hAnsi="Calibri"/>
                <w:b w:val="0"/>
                <w:sz w:val="19"/>
              </w:rPr>
              <w:t>Dr Daqing Chen, London South Bank University</w:t>
            </w:r>
          </w:p>
        </w:tc>
      </w:tr>
      <w:tr>
        <w:tc>
          <w:tcPr>
            <w:tcW w:type="dxa" w:w="2088"/>
          </w:tcPr>
          <w:p>
            <w:pPr>
              <w:spacing w:after="20" w:before="20"/>
            </w:pPr>
            <w:r>
              <w:rPr>
                <w:rFonts w:ascii="Calibri" w:hAnsi="Calibri"/>
                <w:b w:val="0"/>
                <w:sz w:val="19"/>
              </w:rPr>
            </w:r>
            <w:r>
              <w:rPr>
                <w:rFonts w:ascii="Calibri" w:hAnsi="Calibri"/>
                <w:b w:val="0"/>
                <w:sz w:val="19"/>
              </w:rPr>
              <w:t>Licence</w:t>
            </w:r>
          </w:p>
        </w:tc>
        <w:tc>
          <w:tcPr>
            <w:tcW w:type="dxa" w:w="6768"/>
          </w:tcPr>
          <w:p>
            <w:pPr>
              <w:spacing w:after="20" w:before="20"/>
            </w:pPr>
            <w:r>
              <w:rPr>
                <w:rFonts w:ascii="Calibri" w:hAnsi="Calibri"/>
                <w:b w:val="0"/>
                <w:sz w:val="19"/>
              </w:rPr>
            </w:r>
            <w:r>
              <w:rPr>
                <w:rFonts w:ascii="Calibri" w:hAnsi="Calibri"/>
                <w:b w:val="0"/>
                <w:sz w:val="19"/>
              </w:rPr>
              <w:t>Creative Commons Attribution 4.0 International (CC BY 4.0)</w:t>
            </w:r>
          </w:p>
        </w:tc>
      </w:tr>
      <w:tr>
        <w:tc>
          <w:tcPr>
            <w:tcW w:type="dxa" w:w="2088"/>
          </w:tcPr>
          <w:p>
            <w:pPr>
              <w:spacing w:after="20" w:before="20"/>
            </w:pPr>
            <w:r>
              <w:rPr>
                <w:rFonts w:ascii="Calibri" w:hAnsi="Calibri"/>
                <w:b w:val="0"/>
                <w:sz w:val="19"/>
              </w:rPr>
            </w:r>
            <w:r>
              <w:rPr>
                <w:rFonts w:ascii="Calibri" w:hAnsi="Calibri"/>
                <w:b w:val="0"/>
                <w:sz w:val="19"/>
              </w:rPr>
              <w:t>Format</w:t>
            </w:r>
          </w:p>
        </w:tc>
        <w:tc>
          <w:tcPr>
            <w:tcW w:type="dxa" w:w="6768"/>
          </w:tcPr>
          <w:p>
            <w:pPr>
              <w:spacing w:after="20" w:before="20"/>
            </w:pPr>
            <w:r>
              <w:rPr>
                <w:rFonts w:ascii="Calibri" w:hAnsi="Calibri"/>
                <w:b w:val="0"/>
                <w:sz w:val="19"/>
              </w:rPr>
            </w:r>
            <w:r>
              <w:rPr>
                <w:rFonts w:ascii="Calibri" w:hAnsi="Calibri"/>
                <w:b w:val="0"/>
                <w:sz w:val="19"/>
              </w:rPr>
              <w:t>Single .xlsx workbook, two sheets: Year 2009-2010 and Year 2010-2011</w:t>
            </w:r>
          </w:p>
        </w:tc>
      </w:tr>
      <w:tr>
        <w:tc>
          <w:tcPr>
            <w:tcW w:type="dxa" w:w="2088"/>
          </w:tcPr>
          <w:p>
            <w:pPr>
              <w:spacing w:after="20" w:before="20"/>
            </w:pPr>
            <w:r>
              <w:rPr>
                <w:rFonts w:ascii="Calibri" w:hAnsi="Calibri"/>
                <w:b w:val="0"/>
                <w:sz w:val="19"/>
              </w:rPr>
            </w:r>
            <w:r>
              <w:rPr>
                <w:rFonts w:ascii="Calibri" w:hAnsi="Calibri"/>
                <w:b w:val="0"/>
                <w:sz w:val="19"/>
              </w:rPr>
              <w:t>Size</w:t>
            </w:r>
          </w:p>
        </w:tc>
        <w:tc>
          <w:tcPr>
            <w:tcW w:type="dxa" w:w="6768"/>
          </w:tcPr>
          <w:p>
            <w:pPr>
              <w:spacing w:after="20" w:before="20"/>
            </w:pPr>
            <w:r>
              <w:rPr>
                <w:rFonts w:ascii="Calibri" w:hAnsi="Calibri"/>
                <w:b w:val="0"/>
                <w:sz w:val="19"/>
              </w:rPr>
            </w:r>
            <w:r>
              <w:rPr>
                <w:rFonts w:ascii="Calibri" w:hAnsi="Calibri"/>
                <w:b w:val="0"/>
                <w:sz w:val="19"/>
              </w:rPr>
              <w:t>45.6 MB download (a stored .zip holding one .xlsx of the same size)</w:t>
            </w:r>
          </w:p>
        </w:tc>
      </w:tr>
      <w:tr>
        <w:tc>
          <w:tcPr>
            <w:tcW w:type="dxa" w:w="2088"/>
          </w:tcPr>
          <w:p>
            <w:pPr>
              <w:spacing w:after="20" w:before="20"/>
            </w:pPr>
            <w:r>
              <w:rPr>
                <w:rFonts w:ascii="Calibri" w:hAnsi="Calibri"/>
                <w:b w:val="0"/>
                <w:sz w:val="19"/>
              </w:rPr>
            </w:r>
            <w:r>
              <w:rPr>
                <w:rFonts w:ascii="Calibri" w:hAnsi="Calibri"/>
                <w:b w:val="0"/>
                <w:sz w:val="19"/>
              </w:rPr>
              <w:t>Rows</w:t>
            </w:r>
          </w:p>
        </w:tc>
        <w:tc>
          <w:tcPr>
            <w:tcW w:type="dxa" w:w="6768"/>
          </w:tcPr>
          <w:p>
            <w:pPr>
              <w:spacing w:after="20" w:before="20"/>
            </w:pPr>
            <w:r>
              <w:rPr>
                <w:rFonts w:ascii="Calibri" w:hAnsi="Calibri"/>
                <w:b w:val="0"/>
                <w:sz w:val="19"/>
              </w:rPr>
            </w:r>
            <w:r>
              <w:rPr>
                <w:rFonts w:ascii="Calibri" w:hAnsi="Calibri"/>
                <w:b w:val="0"/>
                <w:sz w:val="19"/>
              </w:rPr>
              <w:t>1,067,371 across both sheets</w:t>
            </w:r>
          </w:p>
        </w:tc>
      </w:tr>
      <w:tr>
        <w:tc>
          <w:tcPr>
            <w:tcW w:type="dxa" w:w="2088"/>
          </w:tcPr>
          <w:p>
            <w:pPr>
              <w:spacing w:after="20" w:before="20"/>
            </w:pPr>
            <w:r>
              <w:rPr>
                <w:rFonts w:ascii="Calibri" w:hAnsi="Calibri"/>
                <w:b w:val="0"/>
                <w:sz w:val="19"/>
              </w:rPr>
            </w:r>
            <w:r>
              <w:rPr>
                <w:rFonts w:ascii="Calibri" w:hAnsi="Calibri"/>
                <w:b w:val="0"/>
                <w:sz w:val="19"/>
              </w:rPr>
              <w:t>Period</w:t>
            </w:r>
          </w:p>
        </w:tc>
        <w:tc>
          <w:tcPr>
            <w:tcW w:type="dxa" w:w="6768"/>
          </w:tcPr>
          <w:p>
            <w:pPr>
              <w:spacing w:after="20" w:before="20"/>
            </w:pPr>
            <w:r>
              <w:rPr>
                <w:rFonts w:ascii="Calibri" w:hAnsi="Calibri"/>
                <w:b w:val="0"/>
                <w:sz w:val="19"/>
              </w:rPr>
            </w:r>
            <w:r>
              <w:rPr>
                <w:rFonts w:ascii="Calibri" w:hAnsi="Calibri"/>
                <w:b w:val="0"/>
                <w:sz w:val="19"/>
              </w:rPr>
              <w:t>1 December 2009 to 9 December 2011</w:t>
            </w:r>
          </w:p>
        </w:tc>
      </w:tr>
      <w:tr>
        <w:tc>
          <w:tcPr>
            <w:tcW w:type="dxa" w:w="2088"/>
          </w:tcPr>
          <w:p>
            <w:pPr>
              <w:spacing w:after="20" w:before="20"/>
            </w:pPr>
            <w:r>
              <w:rPr>
                <w:rFonts w:ascii="Calibri" w:hAnsi="Calibri"/>
                <w:b w:val="0"/>
                <w:sz w:val="19"/>
              </w:rPr>
            </w:r>
            <w:r>
              <w:rPr>
                <w:rFonts w:ascii="Calibri" w:hAnsi="Calibri"/>
                <w:b w:val="0"/>
                <w:sz w:val="19"/>
              </w:rPr>
              <w:t>Granularity</w:t>
            </w:r>
          </w:p>
        </w:tc>
        <w:tc>
          <w:tcPr>
            <w:tcW w:type="dxa" w:w="6768"/>
          </w:tcPr>
          <w:p>
            <w:pPr>
              <w:spacing w:after="20" w:before="20"/>
            </w:pPr>
            <w:r>
              <w:rPr>
                <w:rFonts w:ascii="Calibri" w:hAnsi="Calibri"/>
                <w:b w:val="0"/>
                <w:sz w:val="19"/>
              </w:rPr>
            </w:r>
            <w:r>
              <w:rPr>
                <w:rFonts w:ascii="Calibri" w:hAnsi="Calibri"/>
                <w:b w:val="0"/>
                <w:sz w:val="19"/>
              </w:rPr>
              <w:t>One row per product line per invoice</w:t>
            </w:r>
          </w:p>
        </w:tc>
      </w:tr>
    </w:tbl>
    <w:p/>
    <w:p>
      <w:pPr>
        <w:pStyle w:val="Heading2"/>
      </w:pPr>
      <w:r>
        <w:t>3.2  Schema</w:t>
      </w:r>
    </w:p>
    <w:p>
      <w:pPr>
        <w:spacing w:before="40" w:after="40"/>
        <w:jc w:val="left"/>
      </w:pPr>
      <w:r>
        <w:rPr>
          <w:b w:val="0"/>
          <w:i/>
          <w:color w:val="77776F"/>
          <w:sz w:val="17"/>
        </w:rPr>
        <w:t>Table 4. Schema of the combined dataset: eight source columns, plus SourceSheet and the engineered Revenue column.</w:t>
      </w:r>
    </w:p>
    <w:tbl>
      <w:tblPr>
        <w:tblStyle w:val="LightGrid-Accent1"/>
        <w:tblW w:type="auto" w:w="0"/>
        <w:jc w:val="center"/>
        <w:tblLayout w:type="fixed"/>
        <w:tblLook w:firstColumn="1" w:firstRow="1" w:lastColumn="0" w:lastRow="0" w:noHBand="0" w:noVBand="1" w:val="04A0"/>
      </w:tblPr>
      <w:tblGrid>
        <w:gridCol w:w="3137"/>
        <w:gridCol w:w="3137"/>
        <w:gridCol w:w="3137"/>
      </w:tblGrid>
      <w:tr>
        <w:tc>
          <w:tcPr>
            <w:tcW w:type="dxa" w:w="1440"/>
          </w:tcPr>
          <w:p>
            <w:pPr>
              <w:spacing w:after="20" w:before="20"/>
            </w:pPr>
            <w:r>
              <w:rPr>
                <w:rFonts w:ascii="Calibri" w:hAnsi="Calibri"/>
                <w:b/>
                <w:sz w:val="18"/>
              </w:rPr>
            </w:r>
            <w:r>
              <w:rPr>
                <w:rFonts w:ascii="Calibri" w:hAnsi="Calibri"/>
                <w:b/>
                <w:sz w:val="18"/>
              </w:rPr>
              <w:t>Column</w:t>
            </w:r>
          </w:p>
        </w:tc>
        <w:tc>
          <w:tcPr>
            <w:tcW w:type="dxa" w:w="1008"/>
          </w:tcPr>
          <w:p>
            <w:pPr>
              <w:spacing w:after="20" w:before="20"/>
            </w:pPr>
            <w:r>
              <w:rPr>
                <w:rFonts w:ascii="Calibri" w:hAnsi="Calibri"/>
                <w:b/>
                <w:sz w:val="18"/>
              </w:rPr>
            </w:r>
            <w:r>
              <w:rPr>
                <w:rFonts w:ascii="Calibri" w:hAnsi="Calibri"/>
                <w:b/>
                <w:sz w:val="18"/>
              </w:rPr>
              <w:t>Type</w:t>
            </w:r>
          </w:p>
        </w:tc>
        <w:tc>
          <w:tcPr>
            <w:tcW w:type="dxa" w:w="6408"/>
          </w:tcPr>
          <w:p>
            <w:pPr>
              <w:spacing w:after="20" w:before="20"/>
            </w:pPr>
            <w:r>
              <w:rPr>
                <w:rFonts w:ascii="Calibri" w:hAnsi="Calibri"/>
                <w:b/>
                <w:sz w:val="18"/>
              </w:rPr>
            </w:r>
            <w:r>
              <w:rPr>
                <w:rFonts w:ascii="Calibri" w:hAnsi="Calibri"/>
                <w:b/>
                <w:sz w:val="18"/>
              </w:rPr>
              <w:t>Meaning and notes</w:t>
            </w:r>
          </w:p>
        </w:tc>
      </w:tr>
      <w:tr>
        <w:tc>
          <w:tcPr>
            <w:tcW w:type="dxa" w:w="1440"/>
          </w:tcPr>
          <w:p>
            <w:pPr>
              <w:spacing w:after="20" w:before="20"/>
            </w:pPr>
            <w:r>
              <w:rPr>
                <w:rFonts w:ascii="Calibri" w:hAnsi="Calibri"/>
                <w:b w:val="0"/>
                <w:sz w:val="18"/>
              </w:rPr>
            </w:r>
            <w:r>
              <w:rPr>
                <w:rFonts w:ascii="Calibri" w:hAnsi="Calibri"/>
                <w:b w:val="0"/>
                <w:sz w:val="18"/>
              </w:rPr>
              <w:t>Invoice</w:t>
            </w:r>
          </w:p>
        </w:tc>
        <w:tc>
          <w:tcPr>
            <w:tcW w:type="dxa" w:w="1008"/>
          </w:tcPr>
          <w:p>
            <w:pPr>
              <w:spacing w:after="20" w:before="20"/>
            </w:pPr>
            <w:r>
              <w:rPr>
                <w:rFonts w:ascii="Calibri" w:hAnsi="Calibri"/>
                <w:b w:val="0"/>
                <w:sz w:val="18"/>
              </w:rPr>
            </w:r>
            <w:r>
              <w:rPr>
                <w:rFonts w:ascii="Calibri" w:hAnsi="Calibri"/>
                <w:b w:val="0"/>
                <w:sz w:val="18"/>
              </w:rPr>
              <w:t>text</w:t>
            </w:r>
          </w:p>
        </w:tc>
        <w:tc>
          <w:tcPr>
            <w:tcW w:type="dxa" w:w="6408"/>
          </w:tcPr>
          <w:p>
            <w:pPr>
              <w:spacing w:after="20" w:before="20"/>
            </w:pPr>
            <w:r>
              <w:rPr>
                <w:rFonts w:ascii="Calibri" w:hAnsi="Calibri"/>
                <w:b w:val="0"/>
                <w:sz w:val="18"/>
              </w:rPr>
            </w:r>
            <w:r>
              <w:rPr>
                <w:rFonts w:ascii="Calibri" w:hAnsi="Calibri"/>
                <w:b w:val="0"/>
                <w:i w:val="0"/>
                <w:sz w:val="18"/>
              </w:rPr>
              <w:t xml:space="preserve">Invoice number. A </w:t>
            </w:r>
            <w:r>
              <w:rPr>
                <w:rFonts w:ascii="Consolas" w:hAnsi="Consolas"/>
                <w:b w:val="0"/>
                <w:i w:val="0"/>
                <w:sz w:val="18"/>
              </w:rPr>
              <w:t>C</w:t>
            </w:r>
            <w:r>
              <w:rPr>
                <w:rFonts w:ascii="Calibri" w:hAnsi="Calibri"/>
                <w:b w:val="0"/>
                <w:i w:val="0"/>
                <w:sz w:val="18"/>
              </w:rPr>
              <w:t xml:space="preserve"> prefix marks a cancellation and an </w:t>
            </w:r>
            <w:r>
              <w:rPr>
                <w:rFonts w:ascii="Consolas" w:hAnsi="Consolas"/>
                <w:b w:val="0"/>
                <w:i w:val="0"/>
                <w:sz w:val="18"/>
              </w:rPr>
              <w:t>A</w:t>
            </w:r>
            <w:r>
              <w:rPr>
                <w:rFonts w:ascii="Calibri" w:hAnsi="Calibri"/>
                <w:b w:val="0"/>
                <w:i w:val="0"/>
                <w:sz w:val="18"/>
              </w:rPr>
              <w:t xml:space="preserve"> prefix marks a bad-debt adjustment.</w:t>
            </w:r>
          </w:p>
        </w:tc>
      </w:tr>
      <w:tr>
        <w:tc>
          <w:tcPr>
            <w:tcW w:type="dxa" w:w="1440"/>
          </w:tcPr>
          <w:p>
            <w:pPr>
              <w:spacing w:after="20" w:before="20"/>
            </w:pPr>
            <w:r>
              <w:rPr>
                <w:rFonts w:ascii="Calibri" w:hAnsi="Calibri"/>
                <w:b w:val="0"/>
                <w:sz w:val="18"/>
              </w:rPr>
            </w:r>
            <w:r>
              <w:rPr>
                <w:rFonts w:ascii="Calibri" w:hAnsi="Calibri"/>
                <w:b w:val="0"/>
                <w:sz w:val="18"/>
              </w:rPr>
              <w:t>StockCode</w:t>
            </w:r>
          </w:p>
        </w:tc>
        <w:tc>
          <w:tcPr>
            <w:tcW w:type="dxa" w:w="1008"/>
          </w:tcPr>
          <w:p>
            <w:pPr>
              <w:spacing w:after="20" w:before="20"/>
            </w:pPr>
            <w:r>
              <w:rPr>
                <w:rFonts w:ascii="Calibri" w:hAnsi="Calibri"/>
                <w:b w:val="0"/>
                <w:sz w:val="18"/>
              </w:rPr>
            </w:r>
            <w:r>
              <w:rPr>
                <w:rFonts w:ascii="Calibri" w:hAnsi="Calibri"/>
                <w:b w:val="0"/>
                <w:sz w:val="18"/>
              </w:rPr>
              <w:t>text</w:t>
            </w:r>
          </w:p>
        </w:tc>
        <w:tc>
          <w:tcPr>
            <w:tcW w:type="dxa" w:w="6408"/>
          </w:tcPr>
          <w:p>
            <w:pPr>
              <w:spacing w:after="20" w:before="20"/>
            </w:pPr>
            <w:r>
              <w:rPr>
                <w:rFonts w:ascii="Calibri" w:hAnsi="Calibri"/>
                <w:b w:val="0"/>
                <w:sz w:val="18"/>
              </w:rPr>
            </w:r>
            <w:r>
              <w:rPr>
                <w:rFonts w:ascii="Calibri" w:hAnsi="Calibri"/>
                <w:b w:val="0"/>
                <w:sz w:val="18"/>
              </w:rPr>
              <w:t>Product code. Some codes are not products at all - POST, DOT, M, BANK CHARGES, AMAZONFEE, TEST001.</w:t>
            </w:r>
          </w:p>
        </w:tc>
      </w:tr>
      <w:tr>
        <w:tc>
          <w:tcPr>
            <w:tcW w:type="dxa" w:w="1440"/>
          </w:tcPr>
          <w:p>
            <w:pPr>
              <w:spacing w:after="20" w:before="20"/>
            </w:pPr>
            <w:r>
              <w:rPr>
                <w:rFonts w:ascii="Calibri" w:hAnsi="Calibri"/>
                <w:b w:val="0"/>
                <w:sz w:val="18"/>
              </w:rPr>
            </w:r>
            <w:r>
              <w:rPr>
                <w:rFonts w:ascii="Calibri" w:hAnsi="Calibri"/>
                <w:b w:val="0"/>
                <w:sz w:val="18"/>
              </w:rPr>
              <w:t>Description</w:t>
            </w:r>
          </w:p>
        </w:tc>
        <w:tc>
          <w:tcPr>
            <w:tcW w:type="dxa" w:w="1008"/>
          </w:tcPr>
          <w:p>
            <w:pPr>
              <w:spacing w:after="20" w:before="20"/>
            </w:pPr>
            <w:r>
              <w:rPr>
                <w:rFonts w:ascii="Calibri" w:hAnsi="Calibri"/>
                <w:b w:val="0"/>
                <w:sz w:val="18"/>
              </w:rPr>
            </w:r>
            <w:r>
              <w:rPr>
                <w:rFonts w:ascii="Calibri" w:hAnsi="Calibri"/>
                <w:b w:val="0"/>
                <w:sz w:val="18"/>
              </w:rPr>
              <w:t>text</w:t>
            </w:r>
          </w:p>
        </w:tc>
        <w:tc>
          <w:tcPr>
            <w:tcW w:type="dxa" w:w="6408"/>
          </w:tcPr>
          <w:p>
            <w:pPr>
              <w:spacing w:after="20" w:before="20"/>
            </w:pPr>
            <w:r>
              <w:rPr>
                <w:rFonts w:ascii="Calibri" w:hAnsi="Calibri"/>
                <w:b w:val="0"/>
                <w:sz w:val="18"/>
              </w:rPr>
            </w:r>
            <w:r>
              <w:rPr>
                <w:rFonts w:ascii="Calibri" w:hAnsi="Calibri"/>
                <w:b w:val="0"/>
                <w:sz w:val="18"/>
              </w:rPr>
              <w:t>Product name. Missing on 4,382 rows.</w:t>
            </w:r>
          </w:p>
        </w:tc>
      </w:tr>
      <w:tr>
        <w:tc>
          <w:tcPr>
            <w:tcW w:type="dxa" w:w="1440"/>
          </w:tcPr>
          <w:p>
            <w:pPr>
              <w:spacing w:after="20" w:before="20"/>
            </w:pPr>
            <w:r>
              <w:rPr>
                <w:rFonts w:ascii="Calibri" w:hAnsi="Calibri"/>
                <w:b w:val="0"/>
                <w:sz w:val="18"/>
              </w:rPr>
            </w:r>
            <w:r>
              <w:rPr>
                <w:rFonts w:ascii="Calibri" w:hAnsi="Calibri"/>
                <w:b w:val="0"/>
                <w:sz w:val="18"/>
              </w:rPr>
              <w:t>Quantity</w:t>
            </w:r>
          </w:p>
        </w:tc>
        <w:tc>
          <w:tcPr>
            <w:tcW w:type="dxa" w:w="1008"/>
          </w:tcPr>
          <w:p>
            <w:pPr>
              <w:spacing w:after="20" w:before="20"/>
            </w:pPr>
            <w:r>
              <w:rPr>
                <w:rFonts w:ascii="Calibri" w:hAnsi="Calibri"/>
                <w:b w:val="0"/>
                <w:sz w:val="18"/>
              </w:rPr>
            </w:r>
            <w:r>
              <w:rPr>
                <w:rFonts w:ascii="Calibri" w:hAnsi="Calibri"/>
                <w:b w:val="0"/>
                <w:sz w:val="18"/>
              </w:rPr>
              <w:t>integer</w:t>
            </w:r>
          </w:p>
        </w:tc>
        <w:tc>
          <w:tcPr>
            <w:tcW w:type="dxa" w:w="6408"/>
          </w:tcPr>
          <w:p>
            <w:pPr>
              <w:spacing w:after="20" w:before="20"/>
            </w:pPr>
            <w:r>
              <w:rPr>
                <w:rFonts w:ascii="Calibri" w:hAnsi="Calibri"/>
                <w:b w:val="0"/>
                <w:sz w:val="18"/>
              </w:rPr>
            </w:r>
            <w:r>
              <w:rPr>
                <w:rFonts w:ascii="Calibri" w:hAnsi="Calibri"/>
                <w:b w:val="0"/>
                <w:sz w:val="18"/>
              </w:rPr>
              <w:t>Units on the line. Negative on returns and write-offs.</w:t>
            </w:r>
          </w:p>
        </w:tc>
      </w:tr>
      <w:tr>
        <w:tc>
          <w:tcPr>
            <w:tcW w:type="dxa" w:w="1440"/>
          </w:tcPr>
          <w:p>
            <w:pPr>
              <w:spacing w:after="20" w:before="20"/>
            </w:pPr>
            <w:r>
              <w:rPr>
                <w:rFonts w:ascii="Calibri" w:hAnsi="Calibri"/>
                <w:b w:val="0"/>
                <w:sz w:val="18"/>
              </w:rPr>
            </w:r>
            <w:r>
              <w:rPr>
                <w:rFonts w:ascii="Calibri" w:hAnsi="Calibri"/>
                <w:b w:val="0"/>
                <w:sz w:val="18"/>
              </w:rPr>
              <w:t>InvoiceDate</w:t>
            </w:r>
          </w:p>
        </w:tc>
        <w:tc>
          <w:tcPr>
            <w:tcW w:type="dxa" w:w="1008"/>
          </w:tcPr>
          <w:p>
            <w:pPr>
              <w:spacing w:after="20" w:before="20"/>
            </w:pPr>
            <w:r>
              <w:rPr>
                <w:rFonts w:ascii="Calibri" w:hAnsi="Calibri"/>
                <w:b w:val="0"/>
                <w:sz w:val="18"/>
              </w:rPr>
            </w:r>
            <w:r>
              <w:rPr>
                <w:rFonts w:ascii="Calibri" w:hAnsi="Calibri"/>
                <w:b w:val="0"/>
                <w:sz w:val="18"/>
              </w:rPr>
              <w:t>datetime</w:t>
            </w:r>
          </w:p>
        </w:tc>
        <w:tc>
          <w:tcPr>
            <w:tcW w:type="dxa" w:w="6408"/>
          </w:tcPr>
          <w:p>
            <w:pPr>
              <w:spacing w:after="20" w:before="20"/>
            </w:pPr>
            <w:r>
              <w:rPr>
                <w:rFonts w:ascii="Calibri" w:hAnsi="Calibri"/>
                <w:b w:val="0"/>
                <w:sz w:val="18"/>
              </w:rPr>
            </w:r>
            <w:r>
              <w:rPr>
                <w:rFonts w:ascii="Calibri" w:hAnsi="Calibri"/>
                <w:b w:val="0"/>
                <w:sz w:val="18"/>
              </w:rPr>
              <w:t>When the line was keyed into the system - see section 7.4, this is not customer intent.</w:t>
            </w:r>
          </w:p>
        </w:tc>
      </w:tr>
      <w:tr>
        <w:tc>
          <w:tcPr>
            <w:tcW w:type="dxa" w:w="1440"/>
          </w:tcPr>
          <w:p>
            <w:pPr>
              <w:spacing w:after="20" w:before="20"/>
            </w:pPr>
            <w:r>
              <w:rPr>
                <w:rFonts w:ascii="Calibri" w:hAnsi="Calibri"/>
                <w:b w:val="0"/>
                <w:sz w:val="18"/>
              </w:rPr>
            </w:r>
            <w:r>
              <w:rPr>
                <w:rFonts w:ascii="Calibri" w:hAnsi="Calibri"/>
                <w:b w:val="0"/>
                <w:sz w:val="18"/>
              </w:rPr>
              <w:t>Price</w:t>
            </w:r>
          </w:p>
        </w:tc>
        <w:tc>
          <w:tcPr>
            <w:tcW w:type="dxa" w:w="1008"/>
          </w:tcPr>
          <w:p>
            <w:pPr>
              <w:spacing w:after="20" w:before="20"/>
            </w:pPr>
            <w:r>
              <w:rPr>
                <w:rFonts w:ascii="Calibri" w:hAnsi="Calibri"/>
                <w:b w:val="0"/>
                <w:sz w:val="18"/>
              </w:rPr>
            </w:r>
            <w:r>
              <w:rPr>
                <w:rFonts w:ascii="Calibri" w:hAnsi="Calibri"/>
                <w:b w:val="0"/>
                <w:sz w:val="18"/>
              </w:rPr>
              <w:t>float</w:t>
            </w:r>
          </w:p>
        </w:tc>
        <w:tc>
          <w:tcPr>
            <w:tcW w:type="dxa" w:w="6408"/>
          </w:tcPr>
          <w:p>
            <w:pPr>
              <w:spacing w:after="20" w:before="20"/>
            </w:pPr>
            <w:r>
              <w:rPr>
                <w:rFonts w:ascii="Calibri" w:hAnsi="Calibri"/>
                <w:b w:val="0"/>
                <w:sz w:val="18"/>
              </w:rPr>
            </w:r>
            <w:r>
              <w:rPr>
                <w:rFonts w:ascii="Calibri" w:hAnsi="Calibri"/>
                <w:b w:val="0"/>
                <w:sz w:val="18"/>
              </w:rPr>
              <w:t>Unit price in GBP. Zero or negative on non-sale lines.</w:t>
            </w:r>
          </w:p>
        </w:tc>
      </w:tr>
      <w:tr>
        <w:tc>
          <w:tcPr>
            <w:tcW w:type="dxa" w:w="1440"/>
          </w:tcPr>
          <w:p>
            <w:pPr>
              <w:spacing w:after="20" w:before="20"/>
            </w:pPr>
            <w:r>
              <w:rPr>
                <w:rFonts w:ascii="Calibri" w:hAnsi="Calibri"/>
                <w:b w:val="0"/>
                <w:sz w:val="18"/>
              </w:rPr>
            </w:r>
            <w:r>
              <w:rPr>
                <w:rFonts w:ascii="Calibri" w:hAnsi="Calibri"/>
                <w:b w:val="0"/>
                <w:sz w:val="18"/>
              </w:rPr>
              <w:t>Customer ID</w:t>
            </w:r>
          </w:p>
        </w:tc>
        <w:tc>
          <w:tcPr>
            <w:tcW w:type="dxa" w:w="1008"/>
          </w:tcPr>
          <w:p>
            <w:pPr>
              <w:spacing w:after="20" w:before="20"/>
            </w:pPr>
            <w:r>
              <w:rPr>
                <w:rFonts w:ascii="Calibri" w:hAnsi="Calibri"/>
                <w:b w:val="0"/>
                <w:sz w:val="18"/>
              </w:rPr>
            </w:r>
            <w:r>
              <w:rPr>
                <w:rFonts w:ascii="Calibri" w:hAnsi="Calibri"/>
                <w:b w:val="0"/>
                <w:sz w:val="18"/>
              </w:rPr>
              <w:t>float</w:t>
            </w:r>
          </w:p>
        </w:tc>
        <w:tc>
          <w:tcPr>
            <w:tcW w:type="dxa" w:w="6408"/>
          </w:tcPr>
          <w:p>
            <w:pPr>
              <w:spacing w:after="20" w:before="20"/>
            </w:pPr>
            <w:r>
              <w:rPr>
                <w:rFonts w:ascii="Calibri" w:hAnsi="Calibri"/>
                <w:b w:val="0"/>
                <w:sz w:val="18"/>
              </w:rPr>
            </w:r>
            <w:r>
              <w:rPr>
                <w:rFonts w:ascii="Calibri" w:hAnsi="Calibri"/>
                <w:b w:val="0"/>
                <w:sz w:val="18"/>
              </w:rPr>
              <w:t>Customer identifier. Missing on 243,007 rows (22.8%) - guest checkouts.</w:t>
            </w:r>
          </w:p>
        </w:tc>
      </w:tr>
      <w:tr>
        <w:tc>
          <w:tcPr>
            <w:tcW w:type="dxa" w:w="1440"/>
          </w:tcPr>
          <w:p>
            <w:pPr>
              <w:spacing w:after="20" w:before="20"/>
            </w:pPr>
            <w:r>
              <w:rPr>
                <w:rFonts w:ascii="Calibri" w:hAnsi="Calibri"/>
                <w:b w:val="0"/>
                <w:sz w:val="18"/>
              </w:rPr>
            </w:r>
            <w:r>
              <w:rPr>
                <w:rFonts w:ascii="Calibri" w:hAnsi="Calibri"/>
                <w:b w:val="0"/>
                <w:sz w:val="18"/>
              </w:rPr>
              <w:t>Country</w:t>
            </w:r>
          </w:p>
        </w:tc>
        <w:tc>
          <w:tcPr>
            <w:tcW w:type="dxa" w:w="1008"/>
          </w:tcPr>
          <w:p>
            <w:pPr>
              <w:spacing w:after="20" w:before="20"/>
            </w:pPr>
            <w:r>
              <w:rPr>
                <w:rFonts w:ascii="Calibri" w:hAnsi="Calibri"/>
                <w:b w:val="0"/>
                <w:sz w:val="18"/>
              </w:rPr>
            </w:r>
            <w:r>
              <w:rPr>
                <w:rFonts w:ascii="Calibri" w:hAnsi="Calibri"/>
                <w:b w:val="0"/>
                <w:sz w:val="18"/>
              </w:rPr>
              <w:t>text</w:t>
            </w:r>
          </w:p>
        </w:tc>
        <w:tc>
          <w:tcPr>
            <w:tcW w:type="dxa" w:w="6408"/>
          </w:tcPr>
          <w:p>
            <w:pPr>
              <w:spacing w:after="20" w:before="20"/>
            </w:pPr>
            <w:r>
              <w:rPr>
                <w:rFonts w:ascii="Calibri" w:hAnsi="Calibri"/>
                <w:b w:val="0"/>
                <w:sz w:val="18"/>
              </w:rPr>
            </w:r>
            <w:r>
              <w:rPr>
                <w:rFonts w:ascii="Calibri" w:hAnsi="Calibri"/>
                <w:b w:val="0"/>
                <w:sz w:val="18"/>
              </w:rPr>
              <w:t>Shipping country. 43 distinct values.</w:t>
            </w:r>
          </w:p>
        </w:tc>
      </w:tr>
      <w:tr>
        <w:tc>
          <w:tcPr>
            <w:tcW w:type="dxa" w:w="1440"/>
          </w:tcPr>
          <w:p>
            <w:pPr>
              <w:spacing w:after="20" w:before="20"/>
            </w:pPr>
            <w:r>
              <w:rPr>
                <w:rFonts w:ascii="Calibri" w:hAnsi="Calibri"/>
                <w:b w:val="0"/>
                <w:sz w:val="18"/>
              </w:rPr>
            </w:r>
            <w:r>
              <w:rPr>
                <w:rFonts w:ascii="Calibri" w:hAnsi="Calibri"/>
                <w:b w:val="0"/>
                <w:sz w:val="18"/>
              </w:rPr>
              <w:t>SourceSheet</w:t>
            </w:r>
          </w:p>
        </w:tc>
        <w:tc>
          <w:tcPr>
            <w:tcW w:type="dxa" w:w="1008"/>
          </w:tcPr>
          <w:p>
            <w:pPr>
              <w:spacing w:after="20" w:before="20"/>
            </w:pPr>
            <w:r>
              <w:rPr>
                <w:rFonts w:ascii="Calibri" w:hAnsi="Calibri"/>
                <w:b w:val="0"/>
                <w:sz w:val="18"/>
              </w:rPr>
            </w:r>
            <w:r>
              <w:rPr>
                <w:rFonts w:ascii="Calibri" w:hAnsi="Calibri"/>
                <w:b w:val="0"/>
                <w:sz w:val="18"/>
              </w:rPr>
              <w:t>text</w:t>
            </w:r>
          </w:p>
        </w:tc>
        <w:tc>
          <w:tcPr>
            <w:tcW w:type="dxa" w:w="6408"/>
          </w:tcPr>
          <w:p>
            <w:pPr>
              <w:spacing w:after="20" w:before="20"/>
            </w:pPr>
            <w:r>
              <w:rPr>
                <w:rFonts w:ascii="Calibri" w:hAnsi="Calibri"/>
                <w:b w:val="0"/>
                <w:sz w:val="18"/>
              </w:rPr>
            </w:r>
            <w:r>
              <w:rPr>
                <w:rFonts w:ascii="Calibri" w:hAnsi="Calibri"/>
                <w:b w:val="0"/>
                <w:sz w:val="18"/>
              </w:rPr>
              <w:t>Added by the notebook to record which sheet a row came from.</w:t>
            </w:r>
          </w:p>
        </w:tc>
      </w:tr>
      <w:tr>
        <w:tc>
          <w:tcPr>
            <w:tcW w:type="dxa" w:w="1440"/>
          </w:tcPr>
          <w:p>
            <w:pPr>
              <w:spacing w:after="20" w:before="20"/>
            </w:pPr>
            <w:r>
              <w:rPr>
                <w:rFonts w:ascii="Calibri" w:hAnsi="Calibri"/>
                <w:b w:val="0"/>
                <w:sz w:val="18"/>
              </w:rPr>
            </w:r>
            <w:r>
              <w:rPr>
                <w:rFonts w:ascii="Calibri" w:hAnsi="Calibri"/>
                <w:b w:val="0"/>
                <w:sz w:val="18"/>
              </w:rPr>
              <w:t>Revenue</w:t>
            </w:r>
          </w:p>
        </w:tc>
        <w:tc>
          <w:tcPr>
            <w:tcW w:type="dxa" w:w="1008"/>
          </w:tcPr>
          <w:p>
            <w:pPr>
              <w:spacing w:after="20" w:before="20"/>
            </w:pPr>
            <w:r>
              <w:rPr>
                <w:rFonts w:ascii="Calibri" w:hAnsi="Calibri"/>
                <w:b w:val="0"/>
                <w:sz w:val="18"/>
              </w:rPr>
            </w:r>
            <w:r>
              <w:rPr>
                <w:rFonts w:ascii="Calibri" w:hAnsi="Calibri"/>
                <w:b w:val="0"/>
                <w:sz w:val="18"/>
              </w:rPr>
              <w:t>float</w:t>
            </w:r>
          </w:p>
        </w:tc>
        <w:tc>
          <w:tcPr>
            <w:tcW w:type="dxa" w:w="6408"/>
          </w:tcPr>
          <w:p>
            <w:pPr>
              <w:spacing w:after="20" w:before="20"/>
            </w:pPr>
            <w:r>
              <w:rPr>
                <w:rFonts w:ascii="Calibri" w:hAnsi="Calibri"/>
                <w:b w:val="0"/>
                <w:sz w:val="18"/>
              </w:rPr>
            </w:r>
            <w:r>
              <w:rPr>
                <w:rFonts w:ascii="Calibri" w:hAnsi="Calibri"/>
                <w:b w:val="0"/>
                <w:sz w:val="18"/>
              </w:rPr>
              <w:t>Engineered by the notebook: Quantity x Price.</w:t>
            </w:r>
          </w:p>
        </w:tc>
      </w:tr>
    </w:tbl>
    <w:p/>
    <w:p>
      <w:pPr>
        <w:pStyle w:val="Heading2"/>
      </w:pPr>
      <w:r>
        <w:t>3.3  Data-quality issues found before any analysis</w:t>
      </w:r>
    </w:p>
    <w:p>
      <w:r>
        <w:rPr>
          <w:b w:val="0"/>
          <w:i w:val="0"/>
        </w:rPr>
        <w:t>The profiling pass in the notebook found the following, all of which shape the cleaning rules in section 6:</w:t>
      </w:r>
    </w:p>
    <w:p>
      <w:pPr>
        <w:pStyle w:val="ListBullet"/>
        <w:spacing w:after="60"/>
      </w:pPr>
      <w:r>
        <w:rPr>
          <w:b/>
          <w:i w:val="0"/>
        </w:rPr>
        <w:t>243,007 rows (22.8%) have no customer ID.</w:t>
      </w:r>
      <w:r>
        <w:rPr>
          <w:b w:val="0"/>
          <w:i w:val="0"/>
        </w:rPr>
        <w:t xml:space="preserve"> These are real sales with real revenue; they simply cannot be attributed to a customer.</w:t>
      </w:r>
    </w:p>
    <w:p>
      <w:pPr>
        <w:pStyle w:val="ListBullet"/>
        <w:spacing w:after="60"/>
      </w:pPr>
      <w:r>
        <w:rPr>
          <w:b/>
          <w:i w:val="0"/>
        </w:rPr>
        <w:t>12,133 rows are exact duplicates</w:t>
      </w:r>
      <w:r>
        <w:rPr>
          <w:b w:val="0"/>
          <w:i w:val="0"/>
        </w:rPr>
        <w:t xml:space="preserve"> on every column including the timestamp - a double write, not two sales.</w:t>
      </w:r>
    </w:p>
    <w:p>
      <w:pPr>
        <w:pStyle w:val="ListBullet"/>
        <w:spacing w:after="60"/>
      </w:pPr>
      <w:r>
        <w:rPr>
          <w:b/>
          <w:i w:val="0"/>
        </w:rPr>
        <w:t xml:space="preserve">19,494 rows sit on </w:t>
      </w:r>
      <w:r>
        <w:rPr>
          <w:rFonts w:ascii="Consolas" w:hAnsi="Consolas"/>
          <w:b/>
          <w:i w:val="0"/>
          <w:sz w:val="19"/>
        </w:rPr>
        <w:t>C</w:t>
      </w:r>
      <w:r>
        <w:rPr>
          <w:b/>
          <w:i w:val="0"/>
        </w:rPr>
        <w:t>-prefixed cancellation invoices</w:t>
      </w:r>
      <w:r>
        <w:rPr>
          <w:b w:val="0"/>
          <w:i w:val="0"/>
        </w:rPr>
        <w:t>, and 22,950 rows carry a negative quantity. The two sets are not the same: the difference is stock write-offs on ordinary invoices.</w:t>
      </w:r>
    </w:p>
    <w:p>
      <w:pPr>
        <w:pStyle w:val="ListBullet"/>
        <w:spacing w:after="60"/>
      </w:pPr>
      <w:r>
        <w:rPr>
          <w:b/>
          <w:i w:val="0"/>
        </w:rPr>
        <w:t xml:space="preserve">Six </w:t>
      </w:r>
      <w:r>
        <w:rPr>
          <w:rFonts w:ascii="Consolas" w:hAnsi="Consolas"/>
          <w:b/>
          <w:i w:val="0"/>
          <w:sz w:val="19"/>
        </w:rPr>
        <w:t>A</w:t>
      </w:r>
      <w:r>
        <w:rPr>
          <w:b/>
          <w:i w:val="0"/>
        </w:rPr>
        <w:t>-prefixed invoices carry £-147,614 of bad-debt adjustments.</w:t>
      </w:r>
      <w:r>
        <w:rPr>
          <w:b w:val="0"/>
          <w:i w:val="0"/>
        </w:rPr>
        <w:t xml:space="preserve"> The common “drop invoices starting with C” recipe leaves every penny of that in the revenue line.</w:t>
      </w:r>
    </w:p>
    <w:p>
      <w:pPr>
        <w:pStyle w:val="ListBullet"/>
        <w:spacing w:after="60"/>
      </w:pPr>
      <w:r>
        <w:rPr>
          <w:b/>
          <w:i w:val="0"/>
        </w:rPr>
        <w:t>6,202 rows are priced at zero and 5 carry a negative price</w:t>
      </w:r>
      <w:r>
        <w:rPr>
          <w:b w:val="0"/>
          <w:i w:val="0"/>
        </w:rPr>
        <w:t>, the zero-priced set including every row with a blank description.</w:t>
      </w:r>
    </w:p>
    <w:p>
      <w:pPr>
        <w:pStyle w:val="ListBullet"/>
        <w:spacing w:after="60"/>
      </w:pPr>
      <w:r>
        <w:rPr>
          <w:b/>
          <w:i w:val="0"/>
        </w:rPr>
        <w:t>Non-product stock codes are mixed into the product lines</w:t>
      </w:r>
      <w:r>
        <w:rPr>
          <w:b w:val="0"/>
          <w:i w:val="0"/>
        </w:rPr>
        <w:t>: postage (POST, DOT), carriage (C2, C3), manual corrections (M), bank charges, Amazon fees, samples, gift vouchers and test records.</w:t>
      </w:r>
    </w:p>
    <w:p>
      <w:r>
        <w:br w:type="page"/>
      </w:r>
    </w:p>
    <w:p>
      <w:pPr>
        <w:pStyle w:val="Heading1"/>
      </w:pPr>
      <w:r>
        <w:t>4.  Tools and technologies</w:t>
      </w:r>
    </w:p>
    <w:p>
      <w:pPr>
        <w:spacing w:before="40" w:after="40"/>
        <w:jc w:val="left"/>
      </w:pPr>
      <w:r>
        <w:rPr>
          <w:b w:val="0"/>
          <w:i/>
          <w:color w:val="77776F"/>
          <w:sz w:val="17"/>
        </w:rPr>
        <w:t>Table 5. Software stack. Every version is the one that actually produced these results, read from the run itself; the lower bounds are in requirements.txt.</w:t>
      </w:r>
    </w:p>
    <w:tbl>
      <w:tblPr>
        <w:tblStyle w:val="LightGrid-Accent1"/>
        <w:tblW w:type="auto" w:w="0"/>
        <w:jc w:val="center"/>
        <w:tblLayout w:type="fixed"/>
        <w:tblLook w:firstColumn="1" w:firstRow="1" w:lastColumn="0" w:lastRow="0" w:noHBand="0" w:noVBand="1" w:val="04A0"/>
      </w:tblPr>
      <w:tblGrid>
        <w:gridCol w:w="3137"/>
        <w:gridCol w:w="3137"/>
        <w:gridCol w:w="3137"/>
      </w:tblGrid>
      <w:tr>
        <w:tc>
          <w:tcPr>
            <w:tcW w:type="dxa" w:w="1944"/>
          </w:tcPr>
          <w:p>
            <w:pPr>
              <w:spacing w:after="20" w:before="20"/>
            </w:pPr>
            <w:r>
              <w:rPr>
                <w:rFonts w:ascii="Calibri" w:hAnsi="Calibri"/>
                <w:b/>
                <w:sz w:val="19"/>
              </w:rPr>
            </w:r>
            <w:r>
              <w:rPr>
                <w:rFonts w:ascii="Calibri" w:hAnsi="Calibri"/>
                <w:b/>
                <w:sz w:val="19"/>
              </w:rPr>
              <w:t>Tool</w:t>
            </w:r>
          </w:p>
        </w:tc>
        <w:tc>
          <w:tcPr>
            <w:tcW w:type="dxa" w:w="1584"/>
          </w:tcPr>
          <w:p>
            <w:pPr>
              <w:spacing w:after="20" w:before="20"/>
            </w:pPr>
            <w:r>
              <w:rPr>
                <w:rFonts w:ascii="Calibri" w:hAnsi="Calibri"/>
                <w:b/>
                <w:sz w:val="19"/>
              </w:rPr>
            </w:r>
            <w:r>
              <w:rPr>
                <w:rFonts w:ascii="Calibri" w:hAnsi="Calibri"/>
                <w:b/>
                <w:sz w:val="19"/>
              </w:rPr>
              <w:t>Version used</w:t>
            </w:r>
          </w:p>
        </w:tc>
        <w:tc>
          <w:tcPr>
            <w:tcW w:type="dxa" w:w="5328"/>
          </w:tcPr>
          <w:p>
            <w:pPr>
              <w:spacing w:after="20" w:before="20"/>
            </w:pPr>
            <w:r>
              <w:rPr>
                <w:rFonts w:ascii="Calibri" w:hAnsi="Calibri"/>
                <w:b/>
                <w:sz w:val="19"/>
              </w:rPr>
            </w:r>
            <w:r>
              <w:rPr>
                <w:rFonts w:ascii="Calibri" w:hAnsi="Calibri"/>
                <w:b/>
                <w:sz w:val="19"/>
              </w:rPr>
              <w:t>Role in this project</w:t>
            </w:r>
          </w:p>
        </w:tc>
      </w:tr>
      <w:tr>
        <w:tc>
          <w:tcPr>
            <w:tcW w:type="dxa" w:w="1944"/>
          </w:tcPr>
          <w:p>
            <w:pPr>
              <w:spacing w:after="20" w:before="20"/>
            </w:pPr>
            <w:r>
              <w:rPr>
                <w:rFonts w:ascii="Calibri" w:hAnsi="Calibri"/>
                <w:b w:val="0"/>
                <w:sz w:val="19"/>
              </w:rPr>
            </w:r>
            <w:r>
              <w:rPr>
                <w:rFonts w:ascii="Calibri" w:hAnsi="Calibri"/>
                <w:b w:val="0"/>
                <w:sz w:val="19"/>
              </w:rPr>
              <w:t>Python</w:t>
            </w:r>
          </w:p>
        </w:tc>
        <w:tc>
          <w:tcPr>
            <w:tcW w:type="dxa" w:w="1584"/>
          </w:tcPr>
          <w:p>
            <w:pPr>
              <w:spacing w:after="20" w:before="20"/>
            </w:pPr>
            <w:r>
              <w:rPr>
                <w:rFonts w:ascii="Calibri" w:hAnsi="Calibri"/>
                <w:b w:val="0"/>
                <w:sz w:val="19"/>
              </w:rPr>
            </w:r>
            <w:r>
              <w:rPr>
                <w:rFonts w:ascii="Calibri" w:hAnsi="Calibri"/>
                <w:b w:val="0"/>
                <w:sz w:val="19"/>
              </w:rPr>
              <w:t>3.14.6</w:t>
            </w:r>
          </w:p>
        </w:tc>
        <w:tc>
          <w:tcPr>
            <w:tcW w:type="dxa" w:w="5328"/>
          </w:tcPr>
          <w:p>
            <w:pPr>
              <w:spacing w:after="20" w:before="20"/>
            </w:pPr>
            <w:r>
              <w:rPr>
                <w:rFonts w:ascii="Calibri" w:hAnsi="Calibri"/>
                <w:b w:val="0"/>
                <w:sz w:val="19"/>
              </w:rPr>
            </w:r>
            <w:r>
              <w:rPr>
                <w:rFonts w:ascii="Calibri" w:hAnsi="Calibri"/>
                <w:b w:val="0"/>
                <w:sz w:val="19"/>
              </w:rPr>
              <w:t>Language for the entire analysis</w:t>
            </w:r>
          </w:p>
        </w:tc>
      </w:tr>
      <w:tr>
        <w:tc>
          <w:tcPr>
            <w:tcW w:type="dxa" w:w="1944"/>
          </w:tcPr>
          <w:p>
            <w:pPr>
              <w:spacing w:after="20" w:before="20"/>
            </w:pPr>
            <w:r>
              <w:rPr>
                <w:rFonts w:ascii="Calibri" w:hAnsi="Calibri"/>
                <w:b w:val="0"/>
                <w:sz w:val="19"/>
              </w:rPr>
            </w:r>
            <w:r>
              <w:rPr>
                <w:rFonts w:ascii="Calibri" w:hAnsi="Calibri"/>
                <w:b w:val="0"/>
                <w:sz w:val="19"/>
              </w:rPr>
              <w:t>Jupyter Notebook</w:t>
            </w:r>
          </w:p>
        </w:tc>
        <w:tc>
          <w:tcPr>
            <w:tcW w:type="dxa" w:w="1584"/>
          </w:tcPr>
          <w:p>
            <w:pPr>
              <w:spacing w:after="20" w:before="20"/>
            </w:pPr>
            <w:r>
              <w:rPr>
                <w:rFonts w:ascii="Calibri" w:hAnsi="Calibri"/>
                <w:b w:val="0"/>
                <w:sz w:val="19"/>
              </w:rPr>
            </w:r>
            <w:r>
              <w:rPr>
                <w:rFonts w:ascii="Calibri" w:hAnsi="Calibri"/>
                <w:b w:val="0"/>
                <w:sz w:val="19"/>
              </w:rPr>
              <w:t>7.6.2</w:t>
            </w:r>
          </w:p>
        </w:tc>
        <w:tc>
          <w:tcPr>
            <w:tcW w:type="dxa" w:w="5328"/>
          </w:tcPr>
          <w:p>
            <w:pPr>
              <w:spacing w:after="20" w:before="20"/>
            </w:pPr>
            <w:r>
              <w:rPr>
                <w:rFonts w:ascii="Calibri" w:hAnsi="Calibri"/>
                <w:b w:val="0"/>
                <w:sz w:val="19"/>
              </w:rPr>
            </w:r>
            <w:r>
              <w:rPr>
                <w:rFonts w:ascii="Calibri" w:hAnsi="Calibri"/>
                <w:b w:val="0"/>
                <w:sz w:val="19"/>
              </w:rPr>
              <w:t>Executable document holding code, charts and narrative</w:t>
            </w:r>
          </w:p>
        </w:tc>
      </w:tr>
      <w:tr>
        <w:tc>
          <w:tcPr>
            <w:tcW w:type="dxa" w:w="1944"/>
          </w:tcPr>
          <w:p>
            <w:pPr>
              <w:spacing w:after="20" w:before="20"/>
            </w:pPr>
            <w:r>
              <w:rPr>
                <w:rFonts w:ascii="Calibri" w:hAnsi="Calibri"/>
                <w:b w:val="0"/>
                <w:sz w:val="19"/>
              </w:rPr>
            </w:r>
            <w:r>
              <w:rPr>
                <w:rFonts w:ascii="Calibri" w:hAnsi="Calibri"/>
                <w:b w:val="0"/>
                <w:sz w:val="19"/>
              </w:rPr>
              <w:t>pandas</w:t>
            </w:r>
          </w:p>
        </w:tc>
        <w:tc>
          <w:tcPr>
            <w:tcW w:type="dxa" w:w="1584"/>
          </w:tcPr>
          <w:p>
            <w:pPr>
              <w:spacing w:after="20" w:before="20"/>
            </w:pPr>
            <w:r>
              <w:rPr>
                <w:rFonts w:ascii="Calibri" w:hAnsi="Calibri"/>
                <w:b w:val="0"/>
                <w:sz w:val="19"/>
              </w:rPr>
            </w:r>
            <w:r>
              <w:rPr>
                <w:rFonts w:ascii="Calibri" w:hAnsi="Calibri"/>
                <w:b w:val="0"/>
                <w:sz w:val="19"/>
              </w:rPr>
              <w:t>3.0.5</w:t>
            </w:r>
          </w:p>
        </w:tc>
        <w:tc>
          <w:tcPr>
            <w:tcW w:type="dxa" w:w="5328"/>
          </w:tcPr>
          <w:p>
            <w:pPr>
              <w:spacing w:after="20" w:before="20"/>
            </w:pPr>
            <w:r>
              <w:rPr>
                <w:rFonts w:ascii="Calibri" w:hAnsi="Calibri"/>
                <w:b w:val="0"/>
                <w:sz w:val="19"/>
              </w:rPr>
            </w:r>
            <w:r>
              <w:rPr>
                <w:rFonts w:ascii="Calibri" w:hAnsi="Calibri"/>
                <w:b w:val="0"/>
                <w:sz w:val="19"/>
              </w:rPr>
              <w:t>Loading, cleaning, joining, grouping, cohort pivots</w:t>
            </w:r>
          </w:p>
        </w:tc>
      </w:tr>
      <w:tr>
        <w:tc>
          <w:tcPr>
            <w:tcW w:type="dxa" w:w="1944"/>
          </w:tcPr>
          <w:p>
            <w:pPr>
              <w:spacing w:after="20" w:before="20"/>
            </w:pPr>
            <w:r>
              <w:rPr>
                <w:rFonts w:ascii="Calibri" w:hAnsi="Calibri"/>
                <w:b w:val="0"/>
                <w:sz w:val="19"/>
              </w:rPr>
            </w:r>
            <w:r>
              <w:rPr>
                <w:rFonts w:ascii="Calibri" w:hAnsi="Calibri"/>
                <w:b w:val="0"/>
                <w:sz w:val="19"/>
              </w:rPr>
              <w:t>NumPy</w:t>
            </w:r>
          </w:p>
        </w:tc>
        <w:tc>
          <w:tcPr>
            <w:tcW w:type="dxa" w:w="1584"/>
          </w:tcPr>
          <w:p>
            <w:pPr>
              <w:spacing w:after="20" w:before="20"/>
            </w:pPr>
            <w:r>
              <w:rPr>
                <w:rFonts w:ascii="Calibri" w:hAnsi="Calibri"/>
                <w:b w:val="0"/>
                <w:sz w:val="19"/>
              </w:rPr>
            </w:r>
            <w:r>
              <w:rPr>
                <w:rFonts w:ascii="Calibri" w:hAnsi="Calibri"/>
                <w:b w:val="0"/>
                <w:sz w:val="19"/>
              </w:rPr>
              <w:t>2.5.3</w:t>
            </w:r>
          </w:p>
        </w:tc>
        <w:tc>
          <w:tcPr>
            <w:tcW w:type="dxa" w:w="5328"/>
          </w:tcPr>
          <w:p>
            <w:pPr>
              <w:spacing w:after="20" w:before="20"/>
            </w:pPr>
            <w:r>
              <w:rPr>
                <w:rFonts w:ascii="Calibri" w:hAnsi="Calibri"/>
                <w:b w:val="0"/>
                <w:sz w:val="19"/>
              </w:rPr>
            </w:r>
            <w:r>
              <w:rPr>
                <w:rFonts w:ascii="Calibri" w:hAnsi="Calibri"/>
                <w:b w:val="0"/>
                <w:sz w:val="19"/>
              </w:rPr>
              <w:t>Vectorised arithmetic and the log1p transform before clustering</w:t>
            </w:r>
          </w:p>
        </w:tc>
      </w:tr>
      <w:tr>
        <w:tc>
          <w:tcPr>
            <w:tcW w:type="dxa" w:w="1944"/>
          </w:tcPr>
          <w:p>
            <w:pPr>
              <w:spacing w:after="20" w:before="20"/>
            </w:pPr>
            <w:r>
              <w:rPr>
                <w:rFonts w:ascii="Calibri" w:hAnsi="Calibri"/>
                <w:b w:val="0"/>
                <w:sz w:val="19"/>
              </w:rPr>
            </w:r>
            <w:r>
              <w:rPr>
                <w:rFonts w:ascii="Calibri" w:hAnsi="Calibri"/>
                <w:b w:val="0"/>
                <w:sz w:val="19"/>
              </w:rPr>
              <w:t>Matplotlib</w:t>
            </w:r>
          </w:p>
        </w:tc>
        <w:tc>
          <w:tcPr>
            <w:tcW w:type="dxa" w:w="1584"/>
          </w:tcPr>
          <w:p>
            <w:pPr>
              <w:spacing w:after="20" w:before="20"/>
            </w:pPr>
            <w:r>
              <w:rPr>
                <w:rFonts w:ascii="Calibri" w:hAnsi="Calibri"/>
                <w:b w:val="0"/>
                <w:sz w:val="19"/>
              </w:rPr>
            </w:r>
            <w:r>
              <w:rPr>
                <w:rFonts w:ascii="Calibri" w:hAnsi="Calibri"/>
                <w:b w:val="0"/>
                <w:sz w:val="19"/>
              </w:rPr>
              <w:t>3.11.2</w:t>
            </w:r>
          </w:p>
        </w:tc>
        <w:tc>
          <w:tcPr>
            <w:tcW w:type="dxa" w:w="5328"/>
          </w:tcPr>
          <w:p>
            <w:pPr>
              <w:spacing w:after="20" w:before="20"/>
            </w:pPr>
            <w:r>
              <w:rPr>
                <w:rFonts w:ascii="Calibri" w:hAnsi="Calibri"/>
                <w:b w:val="0"/>
                <w:sz w:val="19"/>
              </w:rPr>
            </w:r>
            <w:r>
              <w:rPr>
                <w:rFonts w:ascii="Calibri" w:hAnsi="Calibri"/>
                <w:b w:val="0"/>
                <w:sz w:val="19"/>
              </w:rPr>
              <w:t>All 14 figures, drawn on a single explicit chart theme</w:t>
            </w:r>
          </w:p>
        </w:tc>
      </w:tr>
      <w:tr>
        <w:tc>
          <w:tcPr>
            <w:tcW w:type="dxa" w:w="1944"/>
          </w:tcPr>
          <w:p>
            <w:pPr>
              <w:spacing w:after="20" w:before="20"/>
            </w:pPr>
            <w:r>
              <w:rPr>
                <w:rFonts w:ascii="Calibri" w:hAnsi="Calibri"/>
                <w:b w:val="0"/>
                <w:sz w:val="19"/>
              </w:rPr>
            </w:r>
            <w:r>
              <w:rPr>
                <w:rFonts w:ascii="Calibri" w:hAnsi="Calibri"/>
                <w:b w:val="0"/>
                <w:sz w:val="19"/>
              </w:rPr>
              <w:t>scikit-learn</w:t>
            </w:r>
          </w:p>
        </w:tc>
        <w:tc>
          <w:tcPr>
            <w:tcW w:type="dxa" w:w="1584"/>
          </w:tcPr>
          <w:p>
            <w:pPr>
              <w:spacing w:after="20" w:before="20"/>
            </w:pPr>
            <w:r>
              <w:rPr>
                <w:rFonts w:ascii="Calibri" w:hAnsi="Calibri"/>
                <w:b w:val="0"/>
                <w:sz w:val="19"/>
              </w:rPr>
            </w:r>
            <w:r>
              <w:rPr>
                <w:rFonts w:ascii="Calibri" w:hAnsi="Calibri"/>
                <w:b w:val="0"/>
                <w:sz w:val="19"/>
              </w:rPr>
              <w:t>1.9.1</w:t>
            </w:r>
          </w:p>
        </w:tc>
        <w:tc>
          <w:tcPr>
            <w:tcW w:type="dxa" w:w="5328"/>
          </w:tcPr>
          <w:p>
            <w:pPr>
              <w:spacing w:after="20" w:before="20"/>
            </w:pPr>
            <w:r>
              <w:rPr>
                <w:rFonts w:ascii="Calibri" w:hAnsi="Calibri"/>
                <w:b w:val="0"/>
                <w:sz w:val="19"/>
              </w:rPr>
            </w:r>
            <w:r>
              <w:rPr>
                <w:rFonts w:ascii="Calibri" w:hAnsi="Calibri"/>
                <w:b w:val="0"/>
                <w:sz w:val="19"/>
              </w:rPr>
              <w:t>StandardScaler, KMeans, silhouette_score</w:t>
            </w:r>
          </w:p>
        </w:tc>
      </w:tr>
      <w:tr>
        <w:tc>
          <w:tcPr>
            <w:tcW w:type="dxa" w:w="1944"/>
          </w:tcPr>
          <w:p>
            <w:pPr>
              <w:spacing w:after="20" w:before="20"/>
            </w:pPr>
            <w:r>
              <w:rPr>
                <w:rFonts w:ascii="Calibri" w:hAnsi="Calibri"/>
                <w:b w:val="0"/>
                <w:sz w:val="19"/>
              </w:rPr>
            </w:r>
            <w:r>
              <w:rPr>
                <w:rFonts w:ascii="Calibri" w:hAnsi="Calibri"/>
                <w:b w:val="0"/>
                <w:sz w:val="19"/>
              </w:rPr>
              <w:t>openpyxl</w:t>
            </w:r>
          </w:p>
        </w:tc>
        <w:tc>
          <w:tcPr>
            <w:tcW w:type="dxa" w:w="1584"/>
          </w:tcPr>
          <w:p>
            <w:pPr>
              <w:spacing w:after="20" w:before="20"/>
            </w:pPr>
            <w:r>
              <w:rPr>
                <w:rFonts w:ascii="Calibri" w:hAnsi="Calibri"/>
                <w:b w:val="0"/>
                <w:sz w:val="19"/>
              </w:rPr>
            </w:r>
            <w:r>
              <w:rPr>
                <w:rFonts w:ascii="Calibri" w:hAnsi="Calibri"/>
                <w:b w:val="0"/>
                <w:sz w:val="19"/>
              </w:rPr>
              <w:t>3.1.5</w:t>
            </w:r>
          </w:p>
        </w:tc>
        <w:tc>
          <w:tcPr>
            <w:tcW w:type="dxa" w:w="5328"/>
          </w:tcPr>
          <w:p>
            <w:pPr>
              <w:spacing w:after="20" w:before="20"/>
            </w:pPr>
            <w:r>
              <w:rPr>
                <w:rFonts w:ascii="Calibri" w:hAnsi="Calibri"/>
                <w:b w:val="0"/>
                <w:sz w:val="19"/>
              </w:rPr>
            </w:r>
            <w:r>
              <w:rPr>
                <w:rFonts w:ascii="Calibri" w:hAnsi="Calibri"/>
                <w:b w:val="0"/>
                <w:sz w:val="19"/>
              </w:rPr>
              <w:t>Reads the two sheets of the source .xlsx workbook</w:t>
            </w:r>
          </w:p>
        </w:tc>
      </w:tr>
      <w:tr>
        <w:tc>
          <w:tcPr>
            <w:tcW w:type="dxa" w:w="1944"/>
          </w:tcPr>
          <w:p>
            <w:pPr>
              <w:spacing w:after="20" w:before="20"/>
            </w:pPr>
            <w:r>
              <w:rPr>
                <w:rFonts w:ascii="Calibri" w:hAnsi="Calibri"/>
                <w:b w:val="0"/>
                <w:sz w:val="19"/>
              </w:rPr>
            </w:r>
            <w:r>
              <w:rPr>
                <w:rFonts w:ascii="Calibri" w:hAnsi="Calibri"/>
                <w:b w:val="0"/>
                <w:sz w:val="19"/>
              </w:rPr>
              <w:t>python-docx</w:t>
            </w:r>
          </w:p>
        </w:tc>
        <w:tc>
          <w:tcPr>
            <w:tcW w:type="dxa" w:w="1584"/>
          </w:tcPr>
          <w:p>
            <w:pPr>
              <w:spacing w:after="20" w:before="20"/>
            </w:pPr>
            <w:r>
              <w:rPr>
                <w:rFonts w:ascii="Calibri" w:hAnsi="Calibri"/>
                <w:b w:val="0"/>
                <w:sz w:val="19"/>
              </w:rPr>
            </w:r>
            <w:r>
              <w:rPr>
                <w:rFonts w:ascii="Calibri" w:hAnsi="Calibri"/>
                <w:b w:val="0"/>
                <w:sz w:val="19"/>
              </w:rPr>
              <w:t>1.2.0</w:t>
            </w:r>
          </w:p>
        </w:tc>
        <w:tc>
          <w:tcPr>
            <w:tcW w:type="dxa" w:w="5328"/>
          </w:tcPr>
          <w:p>
            <w:pPr>
              <w:spacing w:after="20" w:before="20"/>
            </w:pPr>
            <w:r>
              <w:rPr>
                <w:rFonts w:ascii="Calibri" w:hAnsi="Calibri"/>
                <w:b w:val="0"/>
                <w:sz w:val="19"/>
              </w:rPr>
            </w:r>
            <w:r>
              <w:rPr>
                <w:rFonts w:ascii="Calibri" w:hAnsi="Calibri"/>
                <w:b w:val="0"/>
                <w:sz w:val="19"/>
              </w:rPr>
              <w:t>Generates this report from outputs/facts.json</w:t>
            </w:r>
          </w:p>
        </w:tc>
      </w:tr>
      <w:tr>
        <w:tc>
          <w:tcPr>
            <w:tcW w:type="dxa" w:w="1944"/>
          </w:tcPr>
          <w:p>
            <w:pPr>
              <w:spacing w:after="20" w:before="20"/>
            </w:pPr>
            <w:r>
              <w:rPr>
                <w:rFonts w:ascii="Calibri" w:hAnsi="Calibri"/>
                <w:b w:val="0"/>
                <w:sz w:val="19"/>
              </w:rPr>
            </w:r>
            <w:r>
              <w:rPr>
                <w:rFonts w:ascii="Calibri" w:hAnsi="Calibri"/>
                <w:b w:val="0"/>
                <w:sz w:val="19"/>
              </w:rPr>
              <w:t>Git / GitHub</w:t>
            </w:r>
          </w:p>
        </w:tc>
        <w:tc>
          <w:tcPr>
            <w:tcW w:type="dxa" w:w="1584"/>
          </w:tcPr>
          <w:p>
            <w:pPr>
              <w:spacing w:after="20" w:before="20"/>
            </w:pPr>
            <w:r>
              <w:rPr>
                <w:rFonts w:ascii="Calibri" w:hAnsi="Calibri"/>
                <w:b w:val="0"/>
                <w:sz w:val="19"/>
              </w:rPr>
            </w:r>
            <w:r>
              <w:rPr>
                <w:rFonts w:ascii="Calibri" w:hAnsi="Calibri"/>
                <w:b w:val="0"/>
                <w:sz w:val="19"/>
              </w:rPr>
              <w:t>-</w:t>
            </w:r>
          </w:p>
        </w:tc>
        <w:tc>
          <w:tcPr>
            <w:tcW w:type="dxa" w:w="5328"/>
          </w:tcPr>
          <w:p>
            <w:pPr>
              <w:spacing w:after="20" w:before="20"/>
            </w:pPr>
            <w:r>
              <w:rPr>
                <w:rFonts w:ascii="Calibri" w:hAnsi="Calibri"/>
                <w:b w:val="0"/>
                <w:sz w:val="19"/>
              </w:rPr>
            </w:r>
            <w:r>
              <w:rPr>
                <w:rFonts w:ascii="Calibri" w:hAnsi="Calibri"/>
                <w:b w:val="0"/>
                <w:sz w:val="19"/>
              </w:rPr>
              <w:t>Version control and submission repository</w:t>
            </w:r>
          </w:p>
        </w:tc>
      </w:tr>
    </w:tbl>
    <w:p/>
    <w:p>
      <w:r>
        <w:rPr>
          <w:b w:val="0"/>
          <w:i w:val="0"/>
        </w:rPr>
        <w:t xml:space="preserve">Two deliberate choices are worth stating. </w:t>
      </w:r>
      <w:r>
        <w:rPr>
          <w:b/>
          <w:i w:val="0"/>
        </w:rPr>
        <w:t>Matplotlib rather than an interactive library:</w:t>
      </w:r>
      <w:r>
        <w:rPr>
          <w:b w:val="0"/>
          <w:i w:val="0"/>
        </w:rPr>
        <w:t xml:space="preserve"> an interactive chart does not survive being committed to a notebook and read by someone else, so every figure here is a static image that renders identically on any machine. </w:t>
      </w:r>
      <w:r>
        <w:rPr>
          <w:b/>
          <w:i w:val="0"/>
        </w:rPr>
        <w:t>A hand-built chart theme rather than a default style:</w:t>
      </w:r>
      <w:r>
        <w:rPr>
          <w:b w:val="0"/>
          <w:i w:val="0"/>
        </w:rPr>
        <w:t xml:space="preserve"> the notebook defines its own ink, grid and categorical colours once, assigns the four categorical hues in a fixed order, uses a single light-to-dark hue for every heatmap, prints a table alongside every chart, and never uses two y-axes on one plot.</w:t>
      </w:r>
    </w:p>
    <w:p>
      <w:pPr>
        <w:pStyle w:val="Heading2"/>
      </w:pPr>
      <w:r>
        <w:t>Repository layout</w:t>
      </w:r>
    </w:p>
    <w:p>
      <w:pPr>
        <w:pStyle w:val="ListBullet"/>
        <w:spacing w:after="60"/>
      </w:pPr>
      <w:r>
        <w:rPr>
          <w:rFonts w:ascii="Consolas" w:hAnsi="Consolas"/>
          <w:b w:val="0"/>
          <w:i w:val="0"/>
          <w:sz w:val="19"/>
        </w:rPr>
        <w:t>AryanVerma_RetailCustomerSegmentationAnalysis.ipynb</w:t>
      </w:r>
      <w:r>
        <w:rPr>
          <w:b w:val="0"/>
          <w:i w:val="0"/>
        </w:rPr>
        <w:t xml:space="preserve"> - the complete analysis: 77 cells (47 code), all executed, no errors.</w:t>
      </w:r>
    </w:p>
    <w:p>
      <w:pPr>
        <w:pStyle w:val="ListBullet"/>
        <w:spacing w:after="60"/>
      </w:pPr>
      <w:r>
        <w:rPr>
          <w:rFonts w:ascii="Consolas" w:hAnsi="Consolas"/>
          <w:b w:val="0"/>
          <w:i w:val="0"/>
          <w:sz w:val="19"/>
        </w:rPr>
        <w:t>requirements.txt</w:t>
      </w:r>
      <w:r>
        <w:rPr>
          <w:b w:val="0"/>
          <w:i w:val="0"/>
        </w:rPr>
        <w:t xml:space="preserve"> - dependencies with verified versions.</w:t>
      </w:r>
    </w:p>
    <w:p>
      <w:pPr>
        <w:pStyle w:val="ListBullet"/>
        <w:spacing w:after="60"/>
      </w:pPr>
      <w:r>
        <w:rPr>
          <w:rFonts w:ascii="Consolas" w:hAnsi="Consolas"/>
          <w:b w:val="0"/>
          <w:i w:val="0"/>
          <w:sz w:val="19"/>
        </w:rPr>
        <w:t>AryanVerma_ProjectReport.docx</w:t>
      </w:r>
      <w:r>
        <w:rPr>
          <w:b w:val="0"/>
          <w:i w:val="0"/>
        </w:rPr>
        <w:t xml:space="preserve"> - this report.</w:t>
      </w:r>
    </w:p>
    <w:p>
      <w:pPr>
        <w:pStyle w:val="ListBullet"/>
        <w:spacing w:after="60"/>
      </w:pPr>
      <w:r>
        <w:rPr>
          <w:rFonts w:ascii="Consolas" w:hAnsi="Consolas"/>
          <w:b w:val="0"/>
          <w:i w:val="0"/>
          <w:sz w:val="19"/>
        </w:rPr>
        <w:t>README.md</w:t>
      </w:r>
      <w:r>
        <w:rPr>
          <w:b w:val="0"/>
          <w:i w:val="0"/>
        </w:rPr>
        <w:t xml:space="preserve"> - overview, dataset link, setup and run instructions.</w:t>
      </w:r>
    </w:p>
    <w:p>
      <w:pPr>
        <w:pStyle w:val="ListBullet"/>
        <w:spacing w:after="60"/>
      </w:pPr>
      <w:r>
        <w:rPr>
          <w:rFonts w:ascii="Consolas" w:hAnsi="Consolas"/>
          <w:b w:val="0"/>
          <w:i w:val="0"/>
          <w:sz w:val="19"/>
        </w:rPr>
        <w:t>tools/build_report.py</w:t>
      </w:r>
      <w:r>
        <w:rPr>
          <w:b w:val="0"/>
          <w:i w:val="0"/>
        </w:rPr>
        <w:t xml:space="preserve"> - the generator that produces this document.</w:t>
      </w:r>
    </w:p>
    <w:p>
      <w:pPr>
        <w:pStyle w:val="ListBullet"/>
        <w:spacing w:after="60"/>
      </w:pPr>
      <w:r>
        <w:rPr>
          <w:rFonts w:ascii="Consolas" w:hAnsi="Consolas"/>
          <w:b w:val="0"/>
          <w:i w:val="0"/>
          <w:sz w:val="19"/>
        </w:rPr>
        <w:t>outputs/facts.json</w:t>
      </w:r>
      <w:r>
        <w:rPr>
          <w:b w:val="0"/>
          <w:i w:val="0"/>
        </w:rPr>
        <w:t xml:space="preserve"> - every computed number, dumped by the notebook.</w:t>
      </w:r>
    </w:p>
    <w:p>
      <w:pPr>
        <w:pStyle w:val="ListBullet"/>
        <w:spacing w:after="60"/>
      </w:pPr>
      <w:r>
        <w:rPr>
          <w:rFonts w:ascii="Consolas" w:hAnsi="Consolas"/>
          <w:b w:val="0"/>
          <w:i w:val="0"/>
          <w:sz w:val="19"/>
        </w:rPr>
        <w:t>outputs/figures/</w:t>
      </w:r>
      <w:r>
        <w:rPr>
          <w:b w:val="0"/>
          <w:i w:val="0"/>
        </w:rPr>
        <w:t xml:space="preserve"> - the 14 exported charts (regenerated by a notebook run).</w:t>
      </w:r>
    </w:p>
    <w:p>
      <w:pPr>
        <w:pStyle w:val="ListBullet"/>
        <w:spacing w:after="60"/>
      </w:pPr>
      <w:r>
        <w:rPr>
          <w:rFonts w:ascii="Consolas" w:hAnsi="Consolas"/>
          <w:b w:val="0"/>
          <w:i w:val="0"/>
          <w:sz w:val="19"/>
        </w:rPr>
        <w:t>data/raw/</w:t>
      </w:r>
      <w:r>
        <w:rPr>
          <w:b w:val="0"/>
          <w:i w:val="0"/>
        </w:rPr>
        <w:t xml:space="preserve"> - the downloaded source workbook (not committed; downloaded on first run).</w:t>
      </w:r>
    </w:p>
    <w:p>
      <w:r>
        <w:br w:type="page"/>
      </w:r>
    </w:p>
    <w:p>
      <w:pPr>
        <w:pStyle w:val="Heading1"/>
      </w:pPr>
      <w:r>
        <w:t>5.  Methodology</w:t>
      </w:r>
    </w:p>
    <w:p>
      <w:pPr>
        <w:pStyle w:val="Heading2"/>
      </w:pPr>
      <w:r>
        <w:t>5.1  Pipeline</w:t>
      </w:r>
    </w:p>
    <w:p>
      <w:r>
        <w:rPr>
          <w:b w:val="0"/>
          <w:i w:val="0"/>
        </w:rPr>
        <w:t xml:space="preserve">The analysis runs top to bottom in one notebook, in this order: acquire and cache the workbook, profile it, clean it with a logged audit trail, engineer time and revenue fields, compute headline KPIs, run exploratory analysis, build RFM segments, cross-check them with K-Means, estimate CLV, build the cohort matrix, then write findings and dump every computed number to </w:t>
      </w:r>
      <w:r>
        <w:rPr>
          <w:rFonts w:ascii="Consolas" w:hAnsi="Consolas"/>
          <w:b w:val="0"/>
          <w:i w:val="0"/>
          <w:sz w:val="19"/>
        </w:rPr>
        <w:t>outputs/facts.json</w:t>
      </w:r>
      <w:r>
        <w:rPr>
          <w:b w:val="0"/>
          <w:i w:val="0"/>
        </w:rPr>
        <w:t xml:space="preserve">. No cell depends on a later cell, so a fresh kernel and </w:t>
      </w:r>
      <w:r>
        <w:rPr>
          <w:b w:val="0"/>
          <w:i/>
        </w:rPr>
        <w:t>Run All</w:t>
      </w:r>
      <w:r>
        <w:rPr>
          <w:b w:val="0"/>
          <w:i w:val="0"/>
        </w:rPr>
        <w:t xml:space="preserve"> reproduces the whole report.</w:t>
      </w:r>
    </w:p>
    <w:p>
      <w:pPr>
        <w:pStyle w:val="Heading2"/>
      </w:pPr>
      <w:r>
        <w:t>5.2  Two analysis bases, used deliberately</w:t>
      </w:r>
    </w:p>
    <w:p>
      <w:r>
        <w:rPr>
          <w:b w:val="0"/>
          <w:i w:val="0"/>
        </w:rPr>
        <w:t>Restricting the whole analysis to identified customers would throw away £2,989,403 of real revenue; keeping guest orders in the customer models would be meaningless, because a guest row cannot be attributed to anyone. The notebook therefore carries two bases and states which is in use at every step:</w:t>
      </w:r>
    </w:p>
    <w:p>
      <w:pPr>
        <w:pStyle w:val="ListBullet"/>
        <w:spacing w:after="60"/>
      </w:pPr>
      <w:r>
        <w:rPr>
          <w:rFonts w:ascii="Consolas" w:hAnsi="Consolas"/>
          <w:b/>
          <w:i w:val="0"/>
          <w:sz w:val="19"/>
        </w:rPr>
        <w:t>sales</w:t>
      </w:r>
      <w:r>
        <w:rPr>
          <w:b w:val="0"/>
          <w:i w:val="0"/>
        </w:rPr>
        <w:t xml:space="preserve"> - all valid revenue lines including guest checkouts: 1,028,641 rows, £20,517,554. Used for revenue, products, geography, seasonality and returns.</w:t>
      </w:r>
    </w:p>
    <w:p>
      <w:pPr>
        <w:pStyle w:val="ListBullet"/>
        <w:spacing w:after="60"/>
      </w:pPr>
      <w:r>
        <w:rPr>
          <w:rFonts w:ascii="Consolas" w:hAnsi="Consolas"/>
          <w:b/>
          <w:i w:val="0"/>
          <w:sz w:val="19"/>
        </w:rPr>
        <w:t>sales_id</w:t>
      </w:r>
      <w:r>
        <w:rPr>
          <w:b w:val="0"/>
          <w:i w:val="0"/>
        </w:rPr>
        <w:t xml:space="preserve"> - the subset with a known customer ID: 792,828 rows, £17,528,150, which is 85.4% of clean revenue. Used for RFM, K-Means, CLV and cohorts, because all four need an identified customer, and therefore the base every customer-level share in this report is measured against.</w:t>
      </w:r>
    </w:p>
    <w:p>
      <w:r>
        <w:rPr>
          <w:b w:val="0"/>
          <w:i w:val="0"/>
        </w:rPr>
        <w:t xml:space="preserve">Cancellations (19,433 rows - the 19,494 in the raw file less the exact duplicates step 2 removed) and stock write-offs (3,457 rows) are </w:t>
      </w:r>
      <w:r>
        <w:rPr>
          <w:b/>
          <w:i w:val="0"/>
        </w:rPr>
        <w:t>set aside rather than deleted</w:t>
      </w:r>
      <w:r>
        <w:rPr>
          <w:b w:val="0"/>
          <w:i w:val="0"/>
        </w:rPr>
        <w:t>, so section 7.7 can analyse them instead of losing them.</w:t>
      </w:r>
    </w:p>
    <w:p>
      <w:pPr>
        <w:pStyle w:val="Heading2"/>
      </w:pPr>
      <w:r>
        <w:t>5.3  RFM segmentation</w:t>
      </w:r>
    </w:p>
    <w:p>
      <w:r>
        <w:rPr>
          <w:b w:val="0"/>
          <w:i w:val="0"/>
        </w:rPr>
        <w:t>Recency, frequency and monetary value are computed per customer as of the day after the last transaction in the file (9 December 2011), so “recency” is measured against a fixed reference point rather than today's date. Each measure is scored 1-5 by quintile.</w:t>
      </w:r>
    </w:p>
    <w:p>
      <w:r>
        <w:rPr>
          <w:b/>
          <w:i w:val="0"/>
        </w:rPr>
        <w:t>The scoring is rank-based, and that detail matters.</w:t>
      </w:r>
      <w:r>
        <w:rPr>
          <w:b w:val="0"/>
          <w:i w:val="0"/>
        </w:rPr>
        <w:t xml:space="preserve"> Frequency is heavily tied - thousands of customers have exactly one or two orders - and quintile cutting on raw values fails on ties. The notebook therefore ranks first (</w:t>
      </w:r>
      <w:r>
        <w:rPr>
          <w:rFonts w:ascii="Consolas" w:hAnsi="Consolas"/>
          <w:b w:val="0"/>
          <w:i w:val="0"/>
          <w:sz w:val="19"/>
        </w:rPr>
        <w:t>pd.qcut(x.rank(method="first"), 5, ...)</w:t>
      </w:r>
      <w:r>
        <w:rPr>
          <w:b w:val="0"/>
          <w:i w:val="0"/>
        </w:rPr>
        <w:t>), which guarantees five populated bands. Recency is scored in reverse: a small number of days since the last order is a high score.</w:t>
      </w:r>
    </w:p>
    <w:p>
      <w:r>
        <w:rPr>
          <w:b w:val="0"/>
          <w:i w:val="0"/>
        </w:rPr>
        <w:t>The R score and the average of the F and M scores are then mapped onto nine named segments - Champions, Loyal, Cannot lose them, At risk, Needs attention, Promising, New, Hibernating, Lost - through an exhaustive rule ladder, so every one of the 25 (R, FM) combinations lands in exactly one segment and no customer falls through.</w:t>
      </w:r>
    </w:p>
    <w:p>
      <w:pPr>
        <w:pStyle w:val="Heading2"/>
      </w:pPr>
      <w:r>
        <w:t>5.4  K-Means clustering</w:t>
      </w:r>
    </w:p>
    <w:p>
      <w:r>
        <w:rPr>
          <w:b w:val="0"/>
          <w:i w:val="0"/>
        </w:rPr>
        <w:t xml:space="preserve">The same three features are clustered without any rules, as a check on whether the segment boundaries are a property of the data or of the chosen thresholds. Because recency, frequency and monetary value are all heavily right-skewed, each is </w:t>
      </w:r>
      <w:r>
        <w:rPr>
          <w:rFonts w:ascii="Consolas" w:hAnsi="Consolas"/>
          <w:b w:val="0"/>
          <w:i w:val="0"/>
          <w:sz w:val="19"/>
        </w:rPr>
        <w:t>log1p</w:t>
      </w:r>
      <w:r>
        <w:rPr>
          <w:b w:val="0"/>
          <w:i w:val="0"/>
        </w:rPr>
        <w:t xml:space="preserve">-transformed and then standardised with </w:t>
      </w:r>
      <w:r>
        <w:rPr>
          <w:rFonts w:ascii="Consolas" w:hAnsi="Consolas"/>
          <w:b w:val="0"/>
          <w:i w:val="0"/>
          <w:sz w:val="19"/>
        </w:rPr>
        <w:t>StandardScaler</w:t>
      </w:r>
      <w:r>
        <w:rPr>
          <w:b w:val="0"/>
          <w:i w:val="0"/>
        </w:rPr>
        <w:t xml:space="preserve">; skipping either step lets the single largest customer dominate the Euclidean distance. </w:t>
      </w:r>
      <w:r>
        <w:rPr>
          <w:rFonts w:ascii="Consolas" w:hAnsi="Consolas"/>
          <w:b w:val="0"/>
          <w:i w:val="0"/>
          <w:sz w:val="19"/>
        </w:rPr>
        <w:t>k</w:t>
      </w:r>
      <w:r>
        <w:rPr>
          <w:b w:val="0"/>
          <w:i w:val="0"/>
        </w:rPr>
        <w:t xml:space="preserve"> is scanned from 2 to 8 with inertia and silhouette recorded at every value, and the chosen </w:t>
      </w:r>
      <w:r>
        <w:rPr>
          <w:rFonts w:ascii="Consolas" w:hAnsi="Consolas"/>
          <w:b w:val="0"/>
          <w:i w:val="0"/>
          <w:sz w:val="19"/>
        </w:rPr>
        <w:t>k</w:t>
      </w:r>
      <w:r>
        <w:rPr>
          <w:b w:val="0"/>
          <w:i w:val="0"/>
        </w:rPr>
        <w:t xml:space="preserve"> is justified against that scan in section 9 - including where the metric disagrees with the choice.</w:t>
      </w:r>
    </w:p>
    <w:p>
      <w:pPr>
        <w:pStyle w:val="Heading2"/>
      </w:pPr>
      <w:r>
        <w:t>5.5  Customer lifetime value</w:t>
      </w:r>
    </w:p>
    <w:p>
      <w:r>
        <w:rPr>
          <w:b w:val="0"/>
          <w:i w:val="0"/>
        </w:rPr>
        <w:t xml:space="preserve">CLV is reported two ways. </w:t>
      </w:r>
      <w:r>
        <w:rPr>
          <w:b/>
          <w:i w:val="0"/>
        </w:rPr>
        <w:t>Historical CLV</w:t>
      </w:r>
      <w:r>
        <w:rPr>
          <w:b w:val="0"/>
          <w:i w:val="0"/>
        </w:rPr>
        <w:t xml:space="preserve"> is simply the revenue a customer has already produced - a fact, not a model. </w:t>
      </w:r>
      <w:r>
        <w:rPr>
          <w:b/>
          <w:i w:val="0"/>
        </w:rPr>
        <w:t>Projected 12-month value</w:t>
      </w:r>
      <w:r>
        <w:rPr>
          <w:b w:val="0"/>
          <w:i w:val="0"/>
        </w:rPr>
        <w:t xml:space="preserve"> takes each customer's observed spend rate over their own active lifespan and extends it twelve months. Section 10 then tests that projection against actual second-year revenue and reports the bias instead of hiding it.</w:t>
      </w:r>
    </w:p>
    <w:p>
      <w:pPr>
        <w:pStyle w:val="Heading2"/>
      </w:pPr>
      <w:r>
        <w:t>5.6  Cohort retention</w:t>
      </w:r>
    </w:p>
    <w:p>
      <w:r>
        <w:rPr>
          <w:b w:val="0"/>
          <w:i w:val="0"/>
        </w:rPr>
        <w:t xml:space="preserve">Every identified customer is assigned to the month of their first purchase. The matrix records, for each cohort and each month since acquisition, the share of that cohort transacting. Two censoring effects are then corrected: late cohorts have not lived long enough to fill the right of the matrix (blank means </w:t>
      </w:r>
      <w:r>
        <w:rPr>
          <w:b w:val="0"/>
          <w:i/>
        </w:rPr>
        <w:t>not yet observable</w:t>
      </w:r>
      <w:r>
        <w:rPr>
          <w:b w:val="0"/>
          <w:i w:val="0"/>
        </w:rPr>
        <w:t>, never zero), and the first cohort is left-censored because customers who had been buying before the log opens appear as newly acquired. Section 11 reports both the raw and the corrected averages so the size of the correction is visible.</w:t>
      </w:r>
    </w:p>
    <w:p>
      <w:r>
        <w:br w:type="page"/>
      </w:r>
    </w:p>
    <w:p>
      <w:pPr>
        <w:pStyle w:val="Heading1"/>
      </w:pPr>
      <w:r>
        <w:t>6.  Data cleaning and its audit trail</w:t>
      </w:r>
    </w:p>
    <w:p>
      <w:r>
        <w:rPr>
          <w:b w:val="0"/>
          <w:i w:val="0"/>
        </w:rPr>
        <w:t>Cleaning is where an analysis is most easily and most invisibly wrong, so every step in the notebook logs the rows and revenue it removed and why. The table below is that log, printed directly from the pipeline.</w:t>
      </w:r>
    </w:p>
    <w:p>
      <w:pPr>
        <w:spacing w:before="40" w:after="40"/>
        <w:jc w:val="left"/>
      </w:pPr>
      <w:r>
        <w:rPr>
          <w:b w:val="0"/>
          <w:i/>
          <w:color w:val="77776F"/>
          <w:sz w:val="17"/>
        </w:rPr>
        <w:t>Table 6. The cleaning audit trail. Revenue rises at step 3 because removing cancellations removes negative revenue.</w:t>
      </w:r>
    </w:p>
    <w:tbl>
      <w:tblPr>
        <w:tblStyle w:val="LightGrid-Accent1"/>
        <w:tblW w:type="auto" w:w="0"/>
        <w:jc w:val="center"/>
        <w:tblLayout w:type="fixed"/>
        <w:tblLook w:firstColumn="1" w:firstRow="1" w:lastColumn="0" w:lastRow="0" w:noHBand="0" w:noVBand="1" w:val="04A0"/>
      </w:tblPr>
      <w:tblGrid>
        <w:gridCol w:w="1882"/>
        <w:gridCol w:w="1882"/>
        <w:gridCol w:w="1882"/>
        <w:gridCol w:w="1882"/>
        <w:gridCol w:w="1882"/>
      </w:tblGrid>
      <w:tr>
        <w:tc>
          <w:tcPr>
            <w:tcW w:type="dxa" w:w="3672"/>
          </w:tcPr>
          <w:p>
            <w:pPr>
              <w:spacing w:after="20" w:before="20"/>
            </w:pPr>
            <w:r>
              <w:rPr>
                <w:rFonts w:ascii="Calibri" w:hAnsi="Calibri"/>
                <w:b/>
                <w:sz w:val="17"/>
              </w:rPr>
            </w:r>
            <w:r>
              <w:rPr>
                <w:rFonts w:ascii="Calibri" w:hAnsi="Calibri"/>
                <w:b/>
                <w:sz w:val="17"/>
              </w:rPr>
              <w:t>Step</w:t>
            </w:r>
          </w:p>
        </w:tc>
        <w:tc>
          <w:tcPr>
            <w:tcW w:type="dxa" w:w="1224"/>
          </w:tcPr>
          <w:p>
            <w:pPr>
              <w:spacing w:after="20" w:before="20"/>
              <w:jc w:val="right"/>
            </w:pPr>
            <w:r>
              <w:rPr>
                <w:rFonts w:ascii="Calibri" w:hAnsi="Calibri"/>
                <w:b/>
                <w:sz w:val="17"/>
              </w:rPr>
            </w:r>
            <w:r>
              <w:rPr>
                <w:rFonts w:ascii="Calibri" w:hAnsi="Calibri"/>
                <w:b/>
                <w:sz w:val="17"/>
              </w:rPr>
              <w:t>Rows</w:t>
            </w:r>
          </w:p>
        </w:tc>
        <w:tc>
          <w:tcPr>
            <w:tcW w:type="dxa" w:w="1368"/>
          </w:tcPr>
          <w:p>
            <w:pPr>
              <w:spacing w:after="20" w:before="20"/>
              <w:jc w:val="right"/>
            </w:pPr>
            <w:r>
              <w:rPr>
                <w:rFonts w:ascii="Calibri" w:hAnsi="Calibri"/>
                <w:b/>
                <w:sz w:val="17"/>
              </w:rPr>
            </w:r>
            <w:r>
              <w:rPr>
                <w:rFonts w:ascii="Calibri" w:hAnsi="Calibri"/>
                <w:b/>
                <w:sz w:val="17"/>
              </w:rPr>
              <w:t>Rows removed</w:t>
            </w:r>
          </w:p>
        </w:tc>
        <w:tc>
          <w:tcPr>
            <w:tcW w:type="dxa" w:w="1440"/>
          </w:tcPr>
          <w:p>
            <w:pPr>
              <w:spacing w:after="20" w:before="20"/>
              <w:jc w:val="right"/>
            </w:pPr>
            <w:r>
              <w:rPr>
                <w:rFonts w:ascii="Calibri" w:hAnsi="Calibri"/>
                <w:b/>
                <w:sz w:val="17"/>
              </w:rPr>
            </w:r>
            <w:r>
              <w:rPr>
                <w:rFonts w:ascii="Calibri" w:hAnsi="Calibri"/>
                <w:b/>
                <w:sz w:val="17"/>
              </w:rPr>
              <w:t>Revenue (GBP)</w:t>
            </w:r>
          </w:p>
        </w:tc>
        <w:tc>
          <w:tcPr>
            <w:tcW w:type="dxa" w:w="1368"/>
          </w:tcPr>
          <w:p>
            <w:pPr>
              <w:spacing w:after="20" w:before="20"/>
              <w:jc w:val="right"/>
            </w:pPr>
            <w:r>
              <w:rPr>
                <w:rFonts w:ascii="Calibri" w:hAnsi="Calibri"/>
                <w:b/>
                <w:sz w:val="17"/>
              </w:rPr>
            </w:r>
            <w:r>
              <w:rPr>
                <w:rFonts w:ascii="Calibri" w:hAnsi="Calibri"/>
                <w:b/>
                <w:sz w:val="17"/>
              </w:rPr>
              <w:t>Revenue removed</w:t>
            </w:r>
          </w:p>
        </w:tc>
      </w:tr>
      <w:tr>
        <w:tc>
          <w:tcPr>
            <w:tcW w:type="dxa" w:w="3672"/>
          </w:tcPr>
          <w:p>
            <w:pPr>
              <w:spacing w:after="20" w:before="20"/>
            </w:pPr>
            <w:r>
              <w:rPr>
                <w:rFonts w:ascii="Calibri" w:hAnsi="Calibri"/>
                <w:b w:val="0"/>
                <w:sz w:val="17"/>
              </w:rPr>
            </w:r>
            <w:r>
              <w:rPr>
                <w:rFonts w:ascii="Calibri" w:hAnsi="Calibri"/>
                <w:b w:val="0"/>
                <w:sz w:val="17"/>
              </w:rPr>
              <w:t>0. Raw combined (both sheets)</w:t>
            </w:r>
          </w:p>
        </w:tc>
        <w:tc>
          <w:tcPr>
            <w:tcW w:type="dxa" w:w="1224"/>
          </w:tcPr>
          <w:p>
            <w:pPr>
              <w:spacing w:after="20" w:before="20"/>
              <w:jc w:val="right"/>
            </w:pPr>
            <w:r>
              <w:rPr>
                <w:rFonts w:ascii="Calibri" w:hAnsi="Calibri"/>
                <w:b w:val="0"/>
                <w:sz w:val="17"/>
              </w:rPr>
            </w:r>
            <w:r>
              <w:rPr>
                <w:rFonts w:ascii="Calibri" w:hAnsi="Calibri"/>
                <w:b w:val="0"/>
                <w:sz w:val="17"/>
              </w:rPr>
              <w:t>1,067,371</w:t>
            </w:r>
          </w:p>
        </w:tc>
        <w:tc>
          <w:tcPr>
            <w:tcW w:type="dxa" w:w="1368"/>
          </w:tcPr>
          <w:p>
            <w:pPr>
              <w:spacing w:after="20" w:before="20"/>
              <w:jc w:val="right"/>
            </w:pPr>
            <w:r>
              <w:rPr>
                <w:rFonts w:ascii="Calibri" w:hAnsi="Calibri"/>
                <w:b w:val="0"/>
                <w:sz w:val="17"/>
              </w:rPr>
            </w:r>
            <w:r>
              <w:rPr>
                <w:rFonts w:ascii="Calibri" w:hAnsi="Calibri"/>
                <w:b w:val="0"/>
                <w:sz w:val="17"/>
              </w:rPr>
              <w:t>0</w:t>
            </w:r>
          </w:p>
        </w:tc>
        <w:tc>
          <w:tcPr>
            <w:tcW w:type="dxa" w:w="1440"/>
          </w:tcPr>
          <w:p>
            <w:pPr>
              <w:spacing w:after="20" w:before="20"/>
              <w:jc w:val="right"/>
            </w:pPr>
            <w:r>
              <w:rPr>
                <w:rFonts w:ascii="Calibri" w:hAnsi="Calibri"/>
                <w:b w:val="0"/>
                <w:sz w:val="17"/>
              </w:rPr>
            </w:r>
            <w:r>
              <w:rPr>
                <w:rFonts w:ascii="Calibri" w:hAnsi="Calibri"/>
                <w:b w:val="0"/>
                <w:sz w:val="17"/>
              </w:rPr>
              <w:t>19,287,251</w:t>
            </w:r>
          </w:p>
        </w:tc>
        <w:tc>
          <w:tcPr>
            <w:tcW w:type="dxa" w:w="1368"/>
          </w:tcPr>
          <w:p>
            <w:pPr>
              <w:spacing w:after="20" w:before="20"/>
              <w:jc w:val="right"/>
            </w:pPr>
            <w:r>
              <w:rPr>
                <w:rFonts w:ascii="Calibri" w:hAnsi="Calibri"/>
                <w:b w:val="0"/>
                <w:sz w:val="17"/>
              </w:rPr>
            </w:r>
            <w:r>
              <w:rPr>
                <w:rFonts w:ascii="Calibri" w:hAnsi="Calibri"/>
                <w:b w:val="0"/>
                <w:sz w:val="17"/>
              </w:rPr>
              <w:t>0</w:t>
            </w:r>
          </w:p>
        </w:tc>
      </w:tr>
      <w:tr>
        <w:tc>
          <w:tcPr>
            <w:tcW w:type="dxa" w:w="3672"/>
          </w:tcPr>
          <w:p>
            <w:pPr>
              <w:spacing w:after="20" w:before="20"/>
            </w:pPr>
            <w:r>
              <w:rPr>
                <w:rFonts w:ascii="Calibri" w:hAnsi="Calibri"/>
                <w:b w:val="0"/>
                <w:sz w:val="17"/>
              </w:rPr>
            </w:r>
            <w:r>
              <w:rPr>
                <w:rFonts w:ascii="Calibri" w:hAnsi="Calibri"/>
                <w:b w:val="0"/>
                <w:sz w:val="17"/>
              </w:rPr>
              <w:t>1. Normalise text, types; engineer Revenue</w:t>
            </w:r>
          </w:p>
        </w:tc>
        <w:tc>
          <w:tcPr>
            <w:tcW w:type="dxa" w:w="1224"/>
          </w:tcPr>
          <w:p>
            <w:pPr>
              <w:spacing w:after="20" w:before="20"/>
              <w:jc w:val="right"/>
            </w:pPr>
            <w:r>
              <w:rPr>
                <w:rFonts w:ascii="Calibri" w:hAnsi="Calibri"/>
                <w:b w:val="0"/>
                <w:sz w:val="17"/>
              </w:rPr>
            </w:r>
            <w:r>
              <w:rPr>
                <w:rFonts w:ascii="Calibri" w:hAnsi="Calibri"/>
                <w:b w:val="0"/>
                <w:sz w:val="17"/>
              </w:rPr>
              <w:t>1,067,371</w:t>
            </w:r>
          </w:p>
        </w:tc>
        <w:tc>
          <w:tcPr>
            <w:tcW w:type="dxa" w:w="1368"/>
          </w:tcPr>
          <w:p>
            <w:pPr>
              <w:spacing w:after="20" w:before="20"/>
              <w:jc w:val="right"/>
            </w:pPr>
            <w:r>
              <w:rPr>
                <w:rFonts w:ascii="Calibri" w:hAnsi="Calibri"/>
                <w:b w:val="0"/>
                <w:sz w:val="17"/>
              </w:rPr>
            </w:r>
            <w:r>
              <w:rPr>
                <w:rFonts w:ascii="Calibri" w:hAnsi="Calibri"/>
                <w:b w:val="0"/>
                <w:sz w:val="17"/>
              </w:rPr>
              <w:t>0</w:t>
            </w:r>
          </w:p>
        </w:tc>
        <w:tc>
          <w:tcPr>
            <w:tcW w:type="dxa" w:w="1440"/>
          </w:tcPr>
          <w:p>
            <w:pPr>
              <w:spacing w:after="20" w:before="20"/>
              <w:jc w:val="right"/>
            </w:pPr>
            <w:r>
              <w:rPr>
                <w:rFonts w:ascii="Calibri" w:hAnsi="Calibri"/>
                <w:b w:val="0"/>
                <w:sz w:val="17"/>
              </w:rPr>
            </w:r>
            <w:r>
              <w:rPr>
                <w:rFonts w:ascii="Calibri" w:hAnsi="Calibri"/>
                <w:b w:val="0"/>
                <w:sz w:val="17"/>
              </w:rPr>
              <w:t>19,287,251</w:t>
            </w:r>
          </w:p>
        </w:tc>
        <w:tc>
          <w:tcPr>
            <w:tcW w:type="dxa" w:w="1368"/>
          </w:tcPr>
          <w:p>
            <w:pPr>
              <w:spacing w:after="20" w:before="20"/>
              <w:jc w:val="right"/>
            </w:pPr>
            <w:r>
              <w:rPr>
                <w:rFonts w:ascii="Calibri" w:hAnsi="Calibri"/>
                <w:b w:val="0"/>
                <w:sz w:val="17"/>
              </w:rPr>
            </w:r>
            <w:r>
              <w:rPr>
                <w:rFonts w:ascii="Calibri" w:hAnsi="Calibri"/>
                <w:b w:val="0"/>
                <w:sz w:val="17"/>
              </w:rPr>
              <w:t>0</w:t>
            </w:r>
          </w:p>
        </w:tc>
      </w:tr>
      <w:tr>
        <w:tc>
          <w:tcPr>
            <w:tcW w:type="dxa" w:w="3672"/>
          </w:tcPr>
          <w:p>
            <w:pPr>
              <w:spacing w:after="20" w:before="20"/>
            </w:pPr>
            <w:r>
              <w:rPr>
                <w:rFonts w:ascii="Calibri" w:hAnsi="Calibri"/>
                <w:b w:val="0"/>
                <w:sz w:val="17"/>
              </w:rPr>
            </w:r>
            <w:r>
              <w:rPr>
                <w:rFonts w:ascii="Calibri" w:hAnsi="Calibri"/>
                <w:b w:val="0"/>
                <w:sz w:val="17"/>
              </w:rPr>
              <w:t>2. Drop exact duplicate rows</w:t>
            </w:r>
          </w:p>
        </w:tc>
        <w:tc>
          <w:tcPr>
            <w:tcW w:type="dxa" w:w="1224"/>
          </w:tcPr>
          <w:p>
            <w:pPr>
              <w:spacing w:after="20" w:before="20"/>
              <w:jc w:val="right"/>
            </w:pPr>
            <w:r>
              <w:rPr>
                <w:rFonts w:ascii="Calibri" w:hAnsi="Calibri"/>
                <w:b w:val="0"/>
                <w:sz w:val="17"/>
              </w:rPr>
            </w:r>
            <w:r>
              <w:rPr>
                <w:rFonts w:ascii="Calibri" w:hAnsi="Calibri"/>
                <w:b w:val="0"/>
                <w:sz w:val="17"/>
              </w:rPr>
              <w:t>1,055,238</w:t>
            </w:r>
          </w:p>
        </w:tc>
        <w:tc>
          <w:tcPr>
            <w:tcW w:type="dxa" w:w="1368"/>
          </w:tcPr>
          <w:p>
            <w:pPr>
              <w:spacing w:after="20" w:before="20"/>
              <w:jc w:val="right"/>
            </w:pPr>
            <w:r>
              <w:rPr>
                <w:rFonts w:ascii="Calibri" w:hAnsi="Calibri"/>
                <w:b w:val="0"/>
                <w:sz w:val="17"/>
              </w:rPr>
            </w:r>
            <w:r>
              <w:rPr>
                <w:rFonts w:ascii="Calibri" w:hAnsi="Calibri"/>
                <w:b w:val="0"/>
                <w:sz w:val="17"/>
              </w:rPr>
              <w:t>12,133</w:t>
            </w:r>
          </w:p>
        </w:tc>
        <w:tc>
          <w:tcPr>
            <w:tcW w:type="dxa" w:w="1440"/>
          </w:tcPr>
          <w:p>
            <w:pPr>
              <w:spacing w:after="20" w:before="20"/>
              <w:jc w:val="right"/>
            </w:pPr>
            <w:r>
              <w:rPr>
                <w:rFonts w:ascii="Calibri" w:hAnsi="Calibri"/>
                <w:b w:val="0"/>
                <w:sz w:val="17"/>
              </w:rPr>
            </w:r>
            <w:r>
              <w:rPr>
                <w:rFonts w:ascii="Calibri" w:hAnsi="Calibri"/>
                <w:b w:val="0"/>
                <w:sz w:val="17"/>
              </w:rPr>
              <w:t>19,231,800</w:t>
            </w:r>
          </w:p>
        </w:tc>
        <w:tc>
          <w:tcPr>
            <w:tcW w:type="dxa" w:w="1368"/>
          </w:tcPr>
          <w:p>
            <w:pPr>
              <w:spacing w:after="20" w:before="20"/>
              <w:jc w:val="right"/>
            </w:pPr>
            <w:r>
              <w:rPr>
                <w:rFonts w:ascii="Calibri" w:hAnsi="Calibri"/>
                <w:b w:val="0"/>
                <w:sz w:val="17"/>
              </w:rPr>
            </w:r>
            <w:r>
              <w:rPr>
                <w:rFonts w:ascii="Calibri" w:hAnsi="Calibri"/>
                <w:b w:val="0"/>
                <w:sz w:val="17"/>
              </w:rPr>
              <w:t>55,450</w:t>
            </w:r>
          </w:p>
        </w:tc>
      </w:tr>
      <w:tr>
        <w:tc>
          <w:tcPr>
            <w:tcW w:type="dxa" w:w="3672"/>
          </w:tcPr>
          <w:p>
            <w:pPr>
              <w:spacing w:after="20" w:before="20"/>
            </w:pPr>
            <w:r>
              <w:rPr>
                <w:rFonts w:ascii="Calibri" w:hAnsi="Calibri"/>
                <w:b w:val="0"/>
                <w:sz w:val="17"/>
              </w:rPr>
            </w:r>
            <w:r>
              <w:rPr>
                <w:rFonts w:ascii="Calibri" w:hAnsi="Calibri"/>
                <w:b w:val="0"/>
                <w:sz w:val="17"/>
              </w:rPr>
              <w:t>3. Set aside cancellation invoices</w:t>
            </w:r>
          </w:p>
        </w:tc>
        <w:tc>
          <w:tcPr>
            <w:tcW w:type="dxa" w:w="1224"/>
          </w:tcPr>
          <w:p>
            <w:pPr>
              <w:spacing w:after="20" w:before="20"/>
              <w:jc w:val="right"/>
            </w:pPr>
            <w:r>
              <w:rPr>
                <w:rFonts w:ascii="Calibri" w:hAnsi="Calibri"/>
                <w:b w:val="0"/>
                <w:sz w:val="17"/>
              </w:rPr>
            </w:r>
            <w:r>
              <w:rPr>
                <w:rFonts w:ascii="Calibri" w:hAnsi="Calibri"/>
                <w:b w:val="0"/>
                <w:sz w:val="17"/>
              </w:rPr>
              <w:t>1,035,805</w:t>
            </w:r>
          </w:p>
        </w:tc>
        <w:tc>
          <w:tcPr>
            <w:tcW w:type="dxa" w:w="1368"/>
          </w:tcPr>
          <w:p>
            <w:pPr>
              <w:spacing w:after="20" w:before="20"/>
              <w:jc w:val="right"/>
            </w:pPr>
            <w:r>
              <w:rPr>
                <w:rFonts w:ascii="Calibri" w:hAnsi="Calibri"/>
                <w:b w:val="0"/>
                <w:sz w:val="17"/>
              </w:rPr>
            </w:r>
            <w:r>
              <w:rPr>
                <w:rFonts w:ascii="Calibri" w:hAnsi="Calibri"/>
                <w:b w:val="0"/>
                <w:sz w:val="17"/>
              </w:rPr>
              <w:t>19,433</w:t>
            </w:r>
          </w:p>
        </w:tc>
        <w:tc>
          <w:tcPr>
            <w:tcW w:type="dxa" w:w="1440"/>
          </w:tcPr>
          <w:p>
            <w:pPr>
              <w:spacing w:after="20" w:before="20"/>
              <w:jc w:val="right"/>
            </w:pPr>
            <w:r>
              <w:rPr>
                <w:rFonts w:ascii="Calibri" w:hAnsi="Calibri"/>
                <w:b w:val="0"/>
                <w:sz w:val="17"/>
              </w:rPr>
            </w:r>
            <w:r>
              <w:rPr>
                <w:rFonts w:ascii="Calibri" w:hAnsi="Calibri"/>
                <w:b w:val="0"/>
                <w:sz w:val="17"/>
              </w:rPr>
              <w:t>20,755,215</w:t>
            </w:r>
          </w:p>
        </w:tc>
        <w:tc>
          <w:tcPr>
            <w:tcW w:type="dxa" w:w="1368"/>
          </w:tcPr>
          <w:p>
            <w:pPr>
              <w:spacing w:after="20" w:before="20"/>
              <w:jc w:val="right"/>
            </w:pPr>
            <w:r>
              <w:rPr>
                <w:rFonts w:ascii="Calibri" w:hAnsi="Calibri"/>
                <w:b w:val="0"/>
                <w:sz w:val="17"/>
              </w:rPr>
            </w:r>
            <w:r>
              <w:rPr>
                <w:rFonts w:ascii="Calibri" w:hAnsi="Calibri"/>
                <w:b w:val="0"/>
                <w:sz w:val="17"/>
              </w:rPr>
              <w:t>-1,523,415</w:t>
            </w:r>
          </w:p>
        </w:tc>
      </w:tr>
      <w:tr>
        <w:tc>
          <w:tcPr>
            <w:tcW w:type="dxa" w:w="3672"/>
          </w:tcPr>
          <w:p>
            <w:pPr>
              <w:spacing w:after="20" w:before="20"/>
            </w:pPr>
            <w:r>
              <w:rPr>
                <w:rFonts w:ascii="Calibri" w:hAnsi="Calibri"/>
                <w:b w:val="0"/>
                <w:sz w:val="17"/>
              </w:rPr>
            </w:r>
            <w:r>
              <w:rPr>
                <w:rFonts w:ascii="Calibri" w:hAnsi="Calibri"/>
                <w:b w:val="0"/>
                <w:sz w:val="17"/>
              </w:rPr>
              <w:t>4. Set aside stock write-offs</w:t>
            </w:r>
          </w:p>
        </w:tc>
        <w:tc>
          <w:tcPr>
            <w:tcW w:type="dxa" w:w="1224"/>
          </w:tcPr>
          <w:p>
            <w:pPr>
              <w:spacing w:after="20" w:before="20"/>
              <w:jc w:val="right"/>
            </w:pPr>
            <w:r>
              <w:rPr>
                <w:rFonts w:ascii="Calibri" w:hAnsi="Calibri"/>
                <w:b w:val="0"/>
                <w:sz w:val="17"/>
              </w:rPr>
            </w:r>
            <w:r>
              <w:rPr>
                <w:rFonts w:ascii="Calibri" w:hAnsi="Calibri"/>
                <w:b w:val="0"/>
                <w:sz w:val="17"/>
              </w:rPr>
              <w:t>1,032,348</w:t>
            </w:r>
          </w:p>
        </w:tc>
        <w:tc>
          <w:tcPr>
            <w:tcW w:type="dxa" w:w="1368"/>
          </w:tcPr>
          <w:p>
            <w:pPr>
              <w:spacing w:after="20" w:before="20"/>
              <w:jc w:val="right"/>
            </w:pPr>
            <w:r>
              <w:rPr>
                <w:rFonts w:ascii="Calibri" w:hAnsi="Calibri"/>
                <w:b w:val="0"/>
                <w:sz w:val="17"/>
              </w:rPr>
            </w:r>
            <w:r>
              <w:rPr>
                <w:rFonts w:ascii="Calibri" w:hAnsi="Calibri"/>
                <w:b w:val="0"/>
                <w:sz w:val="17"/>
              </w:rPr>
              <w:t>3,457</w:t>
            </w:r>
          </w:p>
        </w:tc>
        <w:tc>
          <w:tcPr>
            <w:tcW w:type="dxa" w:w="1440"/>
          </w:tcPr>
          <w:p>
            <w:pPr>
              <w:spacing w:after="20" w:before="20"/>
              <w:jc w:val="right"/>
            </w:pPr>
            <w:r>
              <w:rPr>
                <w:rFonts w:ascii="Calibri" w:hAnsi="Calibri"/>
                <w:b w:val="0"/>
                <w:sz w:val="17"/>
              </w:rPr>
            </w:r>
            <w:r>
              <w:rPr>
                <w:rFonts w:ascii="Calibri" w:hAnsi="Calibri"/>
                <w:b w:val="0"/>
                <w:sz w:val="17"/>
              </w:rPr>
              <w:t>20,755,215</w:t>
            </w:r>
          </w:p>
        </w:tc>
        <w:tc>
          <w:tcPr>
            <w:tcW w:type="dxa" w:w="1368"/>
          </w:tcPr>
          <w:p>
            <w:pPr>
              <w:spacing w:after="20" w:before="20"/>
              <w:jc w:val="right"/>
            </w:pPr>
            <w:r>
              <w:rPr>
                <w:rFonts w:ascii="Calibri" w:hAnsi="Calibri"/>
                <w:b w:val="0"/>
                <w:sz w:val="17"/>
              </w:rPr>
            </w:r>
            <w:r>
              <w:rPr>
                <w:rFonts w:ascii="Calibri" w:hAnsi="Calibri"/>
                <w:b w:val="0"/>
                <w:sz w:val="17"/>
              </w:rPr>
              <w:t>0</w:t>
            </w:r>
          </w:p>
        </w:tc>
      </w:tr>
      <w:tr>
        <w:tc>
          <w:tcPr>
            <w:tcW w:type="dxa" w:w="3672"/>
          </w:tcPr>
          <w:p>
            <w:pPr>
              <w:spacing w:after="20" w:before="20"/>
            </w:pPr>
            <w:r>
              <w:rPr>
                <w:rFonts w:ascii="Calibri" w:hAnsi="Calibri"/>
                <w:b w:val="0"/>
                <w:sz w:val="17"/>
              </w:rPr>
            </w:r>
            <w:r>
              <w:rPr>
                <w:rFonts w:ascii="Calibri" w:hAnsi="Calibri"/>
                <w:b w:val="0"/>
                <w:sz w:val="17"/>
              </w:rPr>
              <w:t>5. Drop non-positive Price</w:t>
            </w:r>
          </w:p>
        </w:tc>
        <w:tc>
          <w:tcPr>
            <w:tcW w:type="dxa" w:w="1224"/>
          </w:tcPr>
          <w:p>
            <w:pPr>
              <w:spacing w:after="20" w:before="20"/>
              <w:jc w:val="right"/>
            </w:pPr>
            <w:r>
              <w:rPr>
                <w:rFonts w:ascii="Calibri" w:hAnsi="Calibri"/>
                <w:b w:val="0"/>
                <w:sz w:val="17"/>
              </w:rPr>
            </w:r>
            <w:r>
              <w:rPr>
                <w:rFonts w:ascii="Calibri" w:hAnsi="Calibri"/>
                <w:b w:val="0"/>
                <w:sz w:val="17"/>
              </w:rPr>
              <w:t>1,029,609</w:t>
            </w:r>
          </w:p>
        </w:tc>
        <w:tc>
          <w:tcPr>
            <w:tcW w:type="dxa" w:w="1368"/>
          </w:tcPr>
          <w:p>
            <w:pPr>
              <w:spacing w:after="20" w:before="20"/>
              <w:jc w:val="right"/>
            </w:pPr>
            <w:r>
              <w:rPr>
                <w:rFonts w:ascii="Calibri" w:hAnsi="Calibri"/>
                <w:b w:val="0"/>
                <w:sz w:val="17"/>
              </w:rPr>
            </w:r>
            <w:r>
              <w:rPr>
                <w:rFonts w:ascii="Calibri" w:hAnsi="Calibri"/>
                <w:b w:val="0"/>
                <w:sz w:val="17"/>
              </w:rPr>
              <w:t>2,739</w:t>
            </w:r>
          </w:p>
        </w:tc>
        <w:tc>
          <w:tcPr>
            <w:tcW w:type="dxa" w:w="1440"/>
          </w:tcPr>
          <w:p>
            <w:pPr>
              <w:spacing w:after="20" w:before="20"/>
              <w:jc w:val="right"/>
            </w:pPr>
            <w:r>
              <w:rPr>
                <w:rFonts w:ascii="Calibri" w:hAnsi="Calibri"/>
                <w:b w:val="0"/>
                <w:sz w:val="17"/>
              </w:rPr>
            </w:r>
            <w:r>
              <w:rPr>
                <w:rFonts w:ascii="Calibri" w:hAnsi="Calibri"/>
                <w:b w:val="0"/>
                <w:sz w:val="17"/>
              </w:rPr>
              <w:t>20,913,891</w:t>
            </w:r>
          </w:p>
        </w:tc>
        <w:tc>
          <w:tcPr>
            <w:tcW w:type="dxa" w:w="1368"/>
          </w:tcPr>
          <w:p>
            <w:pPr>
              <w:spacing w:after="20" w:before="20"/>
              <w:jc w:val="right"/>
            </w:pPr>
            <w:r>
              <w:rPr>
                <w:rFonts w:ascii="Calibri" w:hAnsi="Calibri"/>
                <w:b w:val="0"/>
                <w:sz w:val="17"/>
              </w:rPr>
            </w:r>
            <w:r>
              <w:rPr>
                <w:rFonts w:ascii="Calibri" w:hAnsi="Calibri"/>
                <w:b w:val="0"/>
                <w:sz w:val="17"/>
              </w:rPr>
              <w:t>-158,676</w:t>
            </w:r>
          </w:p>
        </w:tc>
      </w:tr>
      <w:tr>
        <w:tc>
          <w:tcPr>
            <w:tcW w:type="dxa" w:w="3672"/>
          </w:tcPr>
          <w:p>
            <w:pPr>
              <w:spacing w:after="20" w:before="20"/>
            </w:pPr>
            <w:r>
              <w:rPr>
                <w:rFonts w:ascii="Calibri" w:hAnsi="Calibri"/>
                <w:b w:val="0"/>
                <w:sz w:val="17"/>
              </w:rPr>
            </w:r>
            <w:r>
              <w:rPr>
                <w:rFonts w:ascii="Calibri" w:hAnsi="Calibri"/>
                <w:b w:val="0"/>
                <w:sz w:val="17"/>
              </w:rPr>
              <w:t>6. Drop non-positive Quantity</w:t>
            </w:r>
          </w:p>
        </w:tc>
        <w:tc>
          <w:tcPr>
            <w:tcW w:type="dxa" w:w="1224"/>
          </w:tcPr>
          <w:p>
            <w:pPr>
              <w:spacing w:after="20" w:before="20"/>
              <w:jc w:val="right"/>
            </w:pPr>
            <w:r>
              <w:rPr>
                <w:rFonts w:ascii="Calibri" w:hAnsi="Calibri"/>
                <w:b w:val="0"/>
                <w:sz w:val="17"/>
              </w:rPr>
            </w:r>
            <w:r>
              <w:rPr>
                <w:rFonts w:ascii="Calibri" w:hAnsi="Calibri"/>
                <w:b w:val="0"/>
                <w:sz w:val="17"/>
              </w:rPr>
              <w:t>1,029,609</w:t>
            </w:r>
          </w:p>
        </w:tc>
        <w:tc>
          <w:tcPr>
            <w:tcW w:type="dxa" w:w="1368"/>
          </w:tcPr>
          <w:p>
            <w:pPr>
              <w:spacing w:after="20" w:before="20"/>
              <w:jc w:val="right"/>
            </w:pPr>
            <w:r>
              <w:rPr>
                <w:rFonts w:ascii="Calibri" w:hAnsi="Calibri"/>
                <w:b w:val="0"/>
                <w:sz w:val="17"/>
              </w:rPr>
            </w:r>
            <w:r>
              <w:rPr>
                <w:rFonts w:ascii="Calibri" w:hAnsi="Calibri"/>
                <w:b w:val="0"/>
                <w:sz w:val="17"/>
              </w:rPr>
              <w:t>0</w:t>
            </w:r>
          </w:p>
        </w:tc>
        <w:tc>
          <w:tcPr>
            <w:tcW w:type="dxa" w:w="1440"/>
          </w:tcPr>
          <w:p>
            <w:pPr>
              <w:spacing w:after="20" w:before="20"/>
              <w:jc w:val="right"/>
            </w:pPr>
            <w:r>
              <w:rPr>
                <w:rFonts w:ascii="Calibri" w:hAnsi="Calibri"/>
                <w:b w:val="0"/>
                <w:sz w:val="17"/>
              </w:rPr>
            </w:r>
            <w:r>
              <w:rPr>
                <w:rFonts w:ascii="Calibri" w:hAnsi="Calibri"/>
                <w:b w:val="0"/>
                <w:sz w:val="17"/>
              </w:rPr>
              <w:t>20,913,891</w:t>
            </w:r>
          </w:p>
        </w:tc>
        <w:tc>
          <w:tcPr>
            <w:tcW w:type="dxa" w:w="1368"/>
          </w:tcPr>
          <w:p>
            <w:pPr>
              <w:spacing w:after="20" w:before="20"/>
              <w:jc w:val="right"/>
            </w:pPr>
            <w:r>
              <w:rPr>
                <w:rFonts w:ascii="Calibri" w:hAnsi="Calibri"/>
                <w:b w:val="0"/>
                <w:sz w:val="17"/>
              </w:rPr>
            </w:r>
            <w:r>
              <w:rPr>
                <w:rFonts w:ascii="Calibri" w:hAnsi="Calibri"/>
                <w:b w:val="0"/>
                <w:sz w:val="17"/>
              </w:rPr>
              <w:t>0</w:t>
            </w:r>
          </w:p>
        </w:tc>
      </w:tr>
      <w:tr>
        <w:tc>
          <w:tcPr>
            <w:tcW w:type="dxa" w:w="3672"/>
          </w:tcPr>
          <w:p>
            <w:pPr>
              <w:spacing w:after="20" w:before="20"/>
            </w:pPr>
            <w:r>
              <w:rPr>
                <w:rFonts w:ascii="Calibri" w:hAnsi="Calibri"/>
                <w:b w:val="0"/>
                <w:sz w:val="17"/>
              </w:rPr>
            </w:r>
            <w:r>
              <w:rPr>
                <w:rFonts w:ascii="Calibri" w:hAnsi="Calibri"/>
                <w:b w:val="0"/>
                <w:sz w:val="17"/>
              </w:rPr>
              <w:t>7. Drop administrative stock codes</w:t>
            </w:r>
          </w:p>
        </w:tc>
        <w:tc>
          <w:tcPr>
            <w:tcW w:type="dxa" w:w="1224"/>
          </w:tcPr>
          <w:p>
            <w:pPr>
              <w:spacing w:after="20" w:before="20"/>
              <w:jc w:val="right"/>
            </w:pPr>
            <w:r>
              <w:rPr>
                <w:rFonts w:ascii="Calibri" w:hAnsi="Calibri"/>
                <w:b w:val="0"/>
                <w:sz w:val="17"/>
              </w:rPr>
            </w:r>
            <w:r>
              <w:rPr>
                <w:rFonts w:ascii="Calibri" w:hAnsi="Calibri"/>
                <w:b w:val="0"/>
                <w:sz w:val="17"/>
              </w:rPr>
              <w:t>1,028,641</w:t>
            </w:r>
          </w:p>
        </w:tc>
        <w:tc>
          <w:tcPr>
            <w:tcW w:type="dxa" w:w="1368"/>
          </w:tcPr>
          <w:p>
            <w:pPr>
              <w:spacing w:after="20" w:before="20"/>
              <w:jc w:val="right"/>
            </w:pPr>
            <w:r>
              <w:rPr>
                <w:rFonts w:ascii="Calibri" w:hAnsi="Calibri"/>
                <w:b w:val="0"/>
                <w:sz w:val="17"/>
              </w:rPr>
            </w:r>
            <w:r>
              <w:rPr>
                <w:rFonts w:ascii="Calibri" w:hAnsi="Calibri"/>
                <w:b w:val="0"/>
                <w:sz w:val="17"/>
              </w:rPr>
              <w:t>968</w:t>
            </w:r>
          </w:p>
        </w:tc>
        <w:tc>
          <w:tcPr>
            <w:tcW w:type="dxa" w:w="1440"/>
          </w:tcPr>
          <w:p>
            <w:pPr>
              <w:spacing w:after="20" w:before="20"/>
              <w:jc w:val="right"/>
            </w:pPr>
            <w:r>
              <w:rPr>
                <w:rFonts w:ascii="Calibri" w:hAnsi="Calibri"/>
                <w:b w:val="0"/>
                <w:sz w:val="17"/>
              </w:rPr>
            </w:r>
            <w:r>
              <w:rPr>
                <w:rFonts w:ascii="Calibri" w:hAnsi="Calibri"/>
                <w:b w:val="0"/>
                <w:sz w:val="17"/>
              </w:rPr>
              <w:t>20,517,554</w:t>
            </w:r>
          </w:p>
        </w:tc>
        <w:tc>
          <w:tcPr>
            <w:tcW w:type="dxa" w:w="1368"/>
          </w:tcPr>
          <w:p>
            <w:pPr>
              <w:spacing w:after="20" w:before="20"/>
              <w:jc w:val="right"/>
            </w:pPr>
            <w:r>
              <w:rPr>
                <w:rFonts w:ascii="Calibri" w:hAnsi="Calibri"/>
                <w:b w:val="0"/>
                <w:sz w:val="17"/>
              </w:rPr>
            </w:r>
            <w:r>
              <w:rPr>
                <w:rFonts w:ascii="Calibri" w:hAnsi="Calibri"/>
                <w:b w:val="0"/>
                <w:sz w:val="17"/>
              </w:rPr>
              <w:t>396,338</w:t>
            </w:r>
          </w:p>
        </w:tc>
      </w:tr>
      <w:tr>
        <w:tc>
          <w:tcPr>
            <w:tcW w:type="dxa" w:w="3672"/>
          </w:tcPr>
          <w:p>
            <w:pPr>
              <w:spacing w:after="20" w:before="20"/>
            </w:pPr>
            <w:r>
              <w:rPr>
                <w:rFonts w:ascii="Calibri" w:hAnsi="Calibri"/>
                <w:b w:val="0"/>
                <w:sz w:val="17"/>
              </w:rPr>
            </w:r>
            <w:r>
              <w:rPr>
                <w:rFonts w:ascii="Calibri" w:hAnsi="Calibri"/>
                <w:b w:val="0"/>
                <w:sz w:val="17"/>
              </w:rPr>
              <w:t>8. Flag product vs carriage/voucher lines</w:t>
            </w:r>
          </w:p>
        </w:tc>
        <w:tc>
          <w:tcPr>
            <w:tcW w:type="dxa" w:w="1224"/>
          </w:tcPr>
          <w:p>
            <w:pPr>
              <w:spacing w:after="20" w:before="20"/>
              <w:jc w:val="right"/>
            </w:pPr>
            <w:r>
              <w:rPr>
                <w:rFonts w:ascii="Calibri" w:hAnsi="Calibri"/>
                <w:b w:val="0"/>
                <w:sz w:val="17"/>
              </w:rPr>
            </w:r>
            <w:r>
              <w:rPr>
                <w:rFonts w:ascii="Calibri" w:hAnsi="Calibri"/>
                <w:b w:val="0"/>
                <w:sz w:val="17"/>
              </w:rPr>
              <w:t>1,028,641</w:t>
            </w:r>
          </w:p>
        </w:tc>
        <w:tc>
          <w:tcPr>
            <w:tcW w:type="dxa" w:w="1368"/>
          </w:tcPr>
          <w:p>
            <w:pPr>
              <w:spacing w:after="20" w:before="20"/>
              <w:jc w:val="right"/>
            </w:pPr>
            <w:r>
              <w:rPr>
                <w:rFonts w:ascii="Calibri" w:hAnsi="Calibri"/>
                <w:b w:val="0"/>
                <w:sz w:val="17"/>
              </w:rPr>
            </w:r>
            <w:r>
              <w:rPr>
                <w:rFonts w:ascii="Calibri" w:hAnsi="Calibri"/>
                <w:b w:val="0"/>
                <w:sz w:val="17"/>
              </w:rPr>
              <w:t>0</w:t>
            </w:r>
          </w:p>
        </w:tc>
        <w:tc>
          <w:tcPr>
            <w:tcW w:type="dxa" w:w="1440"/>
          </w:tcPr>
          <w:p>
            <w:pPr>
              <w:spacing w:after="20" w:before="20"/>
              <w:jc w:val="right"/>
            </w:pPr>
            <w:r>
              <w:rPr>
                <w:rFonts w:ascii="Calibri" w:hAnsi="Calibri"/>
                <w:b w:val="0"/>
                <w:sz w:val="17"/>
              </w:rPr>
            </w:r>
            <w:r>
              <w:rPr>
                <w:rFonts w:ascii="Calibri" w:hAnsi="Calibri"/>
                <w:b w:val="0"/>
                <w:sz w:val="17"/>
              </w:rPr>
              <w:t>20,517,554</w:t>
            </w:r>
          </w:p>
        </w:tc>
        <w:tc>
          <w:tcPr>
            <w:tcW w:type="dxa" w:w="1368"/>
          </w:tcPr>
          <w:p>
            <w:pPr>
              <w:spacing w:after="20" w:before="20"/>
              <w:jc w:val="right"/>
            </w:pPr>
            <w:r>
              <w:rPr>
                <w:rFonts w:ascii="Calibri" w:hAnsi="Calibri"/>
                <w:b w:val="0"/>
                <w:sz w:val="17"/>
              </w:rPr>
            </w:r>
            <w:r>
              <w:rPr>
                <w:rFonts w:ascii="Calibri" w:hAnsi="Calibri"/>
                <w:b w:val="0"/>
                <w:sz w:val="17"/>
              </w:rPr>
              <w:t>0</w:t>
            </w:r>
          </w:p>
        </w:tc>
      </w:tr>
      <w:tr>
        <w:tc>
          <w:tcPr>
            <w:tcW w:type="dxa" w:w="3672"/>
          </w:tcPr>
          <w:p>
            <w:pPr>
              <w:spacing w:after="20" w:before="20"/>
            </w:pPr>
            <w:r>
              <w:rPr>
                <w:rFonts w:ascii="Calibri" w:hAnsi="Calibri"/>
                <w:b w:val="0"/>
                <w:sz w:val="17"/>
              </w:rPr>
            </w:r>
            <w:r>
              <w:rPr>
                <w:rFonts w:ascii="Calibri" w:hAnsi="Calibri"/>
                <w:b w:val="0"/>
                <w:sz w:val="17"/>
              </w:rPr>
              <w:t>9. Restrict to known CustomerID (customer analytics base)</w:t>
            </w:r>
          </w:p>
        </w:tc>
        <w:tc>
          <w:tcPr>
            <w:tcW w:type="dxa" w:w="1224"/>
          </w:tcPr>
          <w:p>
            <w:pPr>
              <w:spacing w:after="20" w:before="20"/>
              <w:jc w:val="right"/>
            </w:pPr>
            <w:r>
              <w:rPr>
                <w:rFonts w:ascii="Calibri" w:hAnsi="Calibri"/>
                <w:b w:val="0"/>
                <w:sz w:val="17"/>
              </w:rPr>
            </w:r>
            <w:r>
              <w:rPr>
                <w:rFonts w:ascii="Calibri" w:hAnsi="Calibri"/>
                <w:b w:val="0"/>
                <w:sz w:val="17"/>
              </w:rPr>
              <w:t>792,828</w:t>
            </w:r>
          </w:p>
        </w:tc>
        <w:tc>
          <w:tcPr>
            <w:tcW w:type="dxa" w:w="1368"/>
          </w:tcPr>
          <w:p>
            <w:pPr>
              <w:spacing w:after="20" w:before="20"/>
              <w:jc w:val="right"/>
            </w:pPr>
            <w:r>
              <w:rPr>
                <w:rFonts w:ascii="Calibri" w:hAnsi="Calibri"/>
                <w:b w:val="0"/>
                <w:sz w:val="17"/>
              </w:rPr>
            </w:r>
            <w:r>
              <w:rPr>
                <w:rFonts w:ascii="Calibri" w:hAnsi="Calibri"/>
                <w:b w:val="0"/>
                <w:sz w:val="17"/>
              </w:rPr>
              <w:t>235,813</w:t>
            </w:r>
          </w:p>
        </w:tc>
        <w:tc>
          <w:tcPr>
            <w:tcW w:type="dxa" w:w="1440"/>
          </w:tcPr>
          <w:p>
            <w:pPr>
              <w:spacing w:after="20" w:before="20"/>
              <w:jc w:val="right"/>
            </w:pPr>
            <w:r>
              <w:rPr>
                <w:rFonts w:ascii="Calibri" w:hAnsi="Calibri"/>
                <w:b w:val="0"/>
                <w:sz w:val="17"/>
              </w:rPr>
            </w:r>
            <w:r>
              <w:rPr>
                <w:rFonts w:ascii="Calibri" w:hAnsi="Calibri"/>
                <w:b w:val="0"/>
                <w:sz w:val="17"/>
              </w:rPr>
              <w:t>17,528,150</w:t>
            </w:r>
          </w:p>
        </w:tc>
        <w:tc>
          <w:tcPr>
            <w:tcW w:type="dxa" w:w="1368"/>
          </w:tcPr>
          <w:p>
            <w:pPr>
              <w:spacing w:after="20" w:before="20"/>
              <w:jc w:val="right"/>
            </w:pPr>
            <w:r>
              <w:rPr>
                <w:rFonts w:ascii="Calibri" w:hAnsi="Calibri"/>
                <w:b w:val="0"/>
                <w:sz w:val="17"/>
              </w:rPr>
            </w:r>
            <w:r>
              <w:rPr>
                <w:rFonts w:ascii="Calibri" w:hAnsi="Calibri"/>
                <w:b w:val="0"/>
                <w:sz w:val="17"/>
              </w:rPr>
              <w:t>2,989,403</w:t>
            </w:r>
          </w:p>
        </w:tc>
      </w:tr>
    </w:tbl>
    <w:p/>
    <w:p>
      <w:pPr>
        <w:pStyle w:val="Heading2"/>
      </w:pPr>
      <w:r>
        <w:t>6.1  Why each rule is defensible</w:t>
      </w:r>
    </w:p>
    <w:p>
      <w:pPr>
        <w:pStyle w:val="ListBullet"/>
        <w:spacing w:after="60"/>
      </w:pPr>
      <w:r>
        <w:rPr>
          <w:b/>
          <w:i w:val="0"/>
        </w:rPr>
        <w:t>Duplicates are dropped only on an exact match of every column</w:t>
      </w:r>
      <w:r>
        <w:rPr>
          <w:b w:val="0"/>
          <w:i w:val="0"/>
        </w:rPr>
        <w:t>, timestamp included. Two identical lines a minute apart are two sales; two identical lines with the same timestamp are one sale written twice.</w:t>
      </w:r>
    </w:p>
    <w:p>
      <w:pPr>
        <w:pStyle w:val="ListBullet"/>
        <w:spacing w:after="60"/>
      </w:pPr>
      <w:r>
        <w:rPr>
          <w:b/>
          <w:i w:val="0"/>
        </w:rPr>
        <w:t>Cancellations and write-offs are separated, not merged.</w:t>
      </w:r>
      <w:r>
        <w:rPr>
          <w:b w:val="0"/>
          <w:i w:val="0"/>
        </w:rPr>
        <w:t xml:space="preserve"> A </w:t>
      </w:r>
      <w:r>
        <w:rPr>
          <w:rFonts w:ascii="Consolas" w:hAnsi="Consolas"/>
          <w:b w:val="0"/>
          <w:i w:val="0"/>
          <w:sz w:val="19"/>
        </w:rPr>
        <w:t>C</w:t>
      </w:r>
      <w:r>
        <w:rPr>
          <w:b w:val="0"/>
          <w:i w:val="0"/>
        </w:rPr>
        <w:t>-prefixed invoice is a customer return. A negative quantity on an ordinary zero-priced invoice is a stock adjustment. Treating both as “returns” would overstate the customer return rate.</w:t>
      </w:r>
    </w:p>
    <w:p>
      <w:pPr>
        <w:pStyle w:val="ListBullet"/>
        <w:spacing w:after="60"/>
      </w:pPr>
      <w:r>
        <w:rPr>
          <w:b/>
          <w:i w:val="0"/>
        </w:rPr>
        <w:t>Non-positive prices go, and that also removes every blank-description row</w:t>
      </w:r>
      <w:r>
        <w:rPr>
          <w:b w:val="0"/>
          <w:i w:val="0"/>
        </w:rPr>
        <w:t xml:space="preserve"> - which is why description is never imputed. There is no product to name.</w:t>
      </w:r>
    </w:p>
    <w:p>
      <w:pPr>
        <w:pStyle w:val="ListBullet"/>
        <w:spacing w:after="60"/>
      </w:pPr>
      <w:r>
        <w:rPr>
          <w:b/>
          <w:i w:val="0"/>
        </w:rPr>
        <w:t>Administrative stock codes are removed by an explicit list</w:t>
      </w:r>
      <w:r>
        <w:rPr>
          <w:b w:val="0"/>
          <w:i w:val="0"/>
        </w:rPr>
        <w:t>, built from the profiling output rather than from a guess: bank charges, Amazon fees, manual adjustments, bad debt, samples and test records.</w:t>
      </w:r>
    </w:p>
    <w:p>
      <w:pPr>
        <w:pStyle w:val="ListBullet"/>
        <w:spacing w:after="60"/>
      </w:pPr>
      <w:r>
        <w:rPr>
          <w:b/>
          <w:i w:val="0"/>
        </w:rPr>
        <w:t>Postage and carriage lines are flagged, not deleted.</w:t>
      </w:r>
      <w:r>
        <w:rPr>
          <w:b w:val="0"/>
          <w:i w:val="0"/>
        </w:rPr>
        <w:t xml:space="preserve"> They are real revenue (£465,687, 2.3% of the total) but they are not merchandise, so the product analysis excludes them while the revenue total keeps them.</w:t>
      </w:r>
    </w:p>
    <w:p>
      <w:r>
        <w:rPr>
          <w:b w:val="0"/>
          <w:i w:val="0"/>
        </w:rPr>
        <w:t xml:space="preserve">The pipeline retains </w:t>
      </w:r>
      <w:r>
        <w:rPr>
          <w:b/>
          <w:i w:val="0"/>
        </w:rPr>
        <w:t>96.4% of the raw rows</w:t>
      </w:r>
      <w:r>
        <w:rPr>
          <w:b w:val="0"/>
          <w:i w:val="0"/>
        </w:rPr>
        <w:t xml:space="preserve"> (38,730 lines removed) and produces the £20,517,554 base that every later section uses.</w:t>
      </w:r>
    </w:p>
    <w:p>
      <w:r>
        <w:br w:type="page"/>
      </w:r>
    </w:p>
    <w:p>
      <w:pPr>
        <w:pStyle w:val="Heading1"/>
      </w:pPr>
      <w:r>
        <w:t>7.  Exploratory analysis</w:t>
      </w:r>
    </w:p>
    <w:p>
      <w:pPr>
        <w:pStyle w:val="Heading2"/>
      </w:pPr>
      <w:r>
        <w:t>7.1  Revenue over time</w:t>
      </w:r>
    </w:p>
    <w:p>
      <w:pPr>
        <w:spacing w:after="40"/>
        <w:jc w:val="center"/>
      </w:pPr>
      <w:r>
        <w:drawing>
          <wp:inline xmlns:a="http://schemas.openxmlformats.org/drawingml/2006/main" xmlns:pic="http://schemas.openxmlformats.org/drawingml/2006/picture">
            <wp:extent cx="5623560" cy="2788510"/>
            <wp:docPr id="1" name="Picture 1"/>
            <wp:cNvGraphicFramePr>
              <a:graphicFrameLocks noChangeAspect="1"/>
            </wp:cNvGraphicFramePr>
            <a:graphic>
              <a:graphicData uri="http://schemas.openxmlformats.org/drawingml/2006/picture">
                <pic:pic>
                  <pic:nvPicPr>
                    <pic:cNvPr id="0" name="01_revenue_trend.png"/>
                    <pic:cNvPicPr/>
                  </pic:nvPicPr>
                  <pic:blipFill>
                    <a:blip r:embed="rId10"/>
                    <a:stretch>
                      <a:fillRect/>
                    </a:stretch>
                  </pic:blipFill>
                  <pic:spPr>
                    <a:xfrm>
                      <a:off x="0" y="0"/>
                      <a:ext cx="5623560" cy="2788510"/>
                    </a:xfrm>
                    <a:prstGeom prst="rect"/>
                  </pic:spPr>
                </pic:pic>
              </a:graphicData>
            </a:graphic>
          </wp:inline>
        </w:drawing>
      </w:r>
    </w:p>
    <w:p>
      <w:pPr>
        <w:spacing w:before="40" w:after="240"/>
        <w:jc w:val="center"/>
      </w:pPr>
      <w:r>
        <w:rPr>
          <w:b w:val="0"/>
          <w:i/>
          <w:color w:val="77776F"/>
          <w:sz w:val="17"/>
        </w:rPr>
        <w:t>Figure 1. Monthly revenue across the 25-month window, with the September-November peak marked.</w:t>
      </w:r>
    </w:p>
    <w:p>
      <w:r>
        <w:rPr>
          <w:b w:val="0"/>
          <w:i w:val="0"/>
        </w:rPr>
        <w:t xml:space="preserve">Revenue is strongly seasonal. </w:t>
      </w:r>
      <w:r>
        <w:rPr>
          <w:b/>
          <w:i w:val="0"/>
        </w:rPr>
        <w:t>September to November averages £1,187,527 a month against £708,613 for every other month - a 67.6% uplift.</w:t>
      </w:r>
      <w:r>
        <w:rPr>
          <w:b w:val="0"/>
          <w:i w:val="0"/>
        </w:rPr>
        <w:t xml:space="preserve"> The peak month is November 2011 at £1,500,524; the trough is February 2011 at £521,308, which is 34.7% of the peak. Comparing the two like-for-like trading years, revenue grew 8.1%, from £9,555,256 to £10,324,943.</w:t>
      </w:r>
    </w:p>
    <w:p>
      <w:r>
        <w:rPr>
          <w:b w:val="0"/>
          <w:i w:val="0"/>
        </w:rPr>
        <w:t>The final month in the file, December 2011, is truncated - the log stops on 9 December 2011 - so its £637,355 is a partial month and is never compared with a full one.</w:t>
      </w:r>
    </w:p>
    <w:p>
      <w:pPr>
        <w:pStyle w:val="Heading2"/>
      </w:pPr>
      <w:r>
        <w:t>7.2  Where the growth came from</w:t>
      </w:r>
    </w:p>
    <w:p>
      <w:pPr>
        <w:spacing w:after="40"/>
        <w:jc w:val="center"/>
      </w:pPr>
      <w:r>
        <w:drawing>
          <wp:inline xmlns:a="http://schemas.openxmlformats.org/drawingml/2006/main" xmlns:pic="http://schemas.openxmlformats.org/drawingml/2006/picture">
            <wp:extent cx="5623560" cy="2825534"/>
            <wp:docPr id="2" name="Picture 2"/>
            <wp:cNvGraphicFramePr>
              <a:graphicFrameLocks noChangeAspect="1"/>
            </wp:cNvGraphicFramePr>
            <a:graphic>
              <a:graphicData uri="http://schemas.openxmlformats.org/drawingml/2006/picture">
                <pic:pic>
                  <pic:nvPicPr>
                    <pic:cNvPr id="0" name="02_new_vs_returning.png"/>
                    <pic:cNvPicPr/>
                  </pic:nvPicPr>
                  <pic:blipFill>
                    <a:blip r:embed="rId11"/>
                    <a:stretch>
                      <a:fillRect/>
                    </a:stretch>
                  </pic:blipFill>
                  <pic:spPr>
                    <a:xfrm>
                      <a:off x="0" y="0"/>
                      <a:ext cx="5623560" cy="2825534"/>
                    </a:xfrm>
                    <a:prstGeom prst="rect"/>
                  </pic:spPr>
                </pic:pic>
              </a:graphicData>
            </a:graphic>
          </wp:inline>
        </w:drawing>
      </w:r>
    </w:p>
    <w:p>
      <w:pPr>
        <w:spacing w:before="40" w:after="240"/>
        <w:jc w:val="center"/>
      </w:pPr>
      <w:r>
        <w:rPr>
          <w:b w:val="0"/>
          <w:i/>
          <w:color w:val="77776F"/>
          <w:sz w:val="17"/>
        </w:rPr>
        <w:t>Figure 2. Monthly revenue split by whether the customer had bought before.</w:t>
      </w:r>
    </w:p>
    <w:p>
      <w:r>
        <w:rPr>
          <w:b w:val="0"/>
          <w:i w:val="0"/>
        </w:rPr>
        <w:t xml:space="preserve">Repeat buying dominates the revenue </w:t>
      </w:r>
      <w:r>
        <w:rPr>
          <w:b w:val="0"/>
          <w:i/>
        </w:rPr>
        <w:t>level</w:t>
      </w:r>
      <w:r>
        <w:rPr>
          <w:b w:val="0"/>
          <w:i w:val="0"/>
        </w:rPr>
        <w:t xml:space="preserve">. </w:t>
      </w:r>
      <w:r>
        <w:rPr>
          <w:b/>
          <w:i w:val="0"/>
        </w:rPr>
        <w:t>In the second year - the twelve full months from December 2010 to November 2011, the truncated final month excluded - 91.3% of identified revenue came from customers who had already ordered in an earlier month</w:t>
      </w:r>
      <w:r>
        <w:rPr>
          <w:b w:val="0"/>
          <w:i w:val="0"/>
        </w:rPr>
        <w:t>; only 8.7% came from customers in their very first month.</w:t>
      </w:r>
    </w:p>
    <w:p>
      <w:r>
        <w:rPr>
          <w:b w:val="0"/>
          <w:i w:val="0"/>
        </w:rPr>
        <w:t xml:space="preserve">That figure is a month-level flag, not a cohort split: a customer counts as returning in every month after the one they first appear in, including later months of the same year they were acquired. Read as "the second year was carried by the customers we already had" it would be wrong, so the same window is also split by </w:t>
      </w:r>
      <w:r>
        <w:rPr>
          <w:b/>
          <w:i w:val="0"/>
        </w:rPr>
        <w:t>acquisition cohort</w:t>
      </w:r>
      <w:r>
        <w:rPr>
          <w:b w:val="0"/>
          <w:i w:val="0"/>
        </w:rPr>
        <w:t>. Customers acquired before the second year began supplied 82.7% of its revenue and customers first acquired during it supplied 17.3%.</w:t>
      </w:r>
    </w:p>
    <w:p>
      <w:r>
        <w:rPr>
          <w:b w:val="0"/>
          <w:i w:val="0"/>
        </w:rPr>
        <w:t xml:space="preserve">The direction of the </w:t>
      </w:r>
      <w:r>
        <w:rPr>
          <w:b w:val="0"/>
          <w:i/>
        </w:rPr>
        <w:t>growth</w:t>
      </w:r>
      <w:r>
        <w:rPr>
          <w:b w:val="0"/>
          <w:i w:val="0"/>
        </w:rPr>
        <w:t xml:space="preserve"> is the opposite of what the first figure suggests. Identified revenue rose from £8,384,041 to £8,627,354 - </w:t>
      </w:r>
      <w:r>
        <w:rPr>
          <w:b/>
          <w:i w:val="0"/>
        </w:rPr>
        <w:t>£243,313, 2.9%</w:t>
      </w:r>
      <w:r>
        <w:rPr>
          <w:b w:val="0"/>
          <w:i w:val="0"/>
        </w:rPr>
        <w:t xml:space="preserve"> - and that net movement is </w:t>
      </w:r>
      <w:r>
        <w:rPr>
          <w:b/>
          <w:i w:val="0"/>
        </w:rPr>
        <w:t>£1,491,334 added by customers acquired during the year, against a £1,248,022 decline in the base that already existed.</w:t>
      </w:r>
      <w:r>
        <w:rPr>
          <w:b w:val="0"/>
          <w:i w:val="0"/>
        </w:rPr>
        <w:t xml:space="preserve"> New acquisition did not top up a growing base; it covered a shrinking one. The existing base is still where the money is - more than four fifths of it - which is what makes the at-risk pool in section 8 expensive, but the case for defending it is that it is leaking, not that it is compounding.</w:t>
      </w:r>
    </w:p>
    <w:p>
      <w:pPr>
        <w:pStyle w:val="Heading2"/>
      </w:pPr>
      <w:r>
        <w:t>7.3  When orders are processed</w:t>
      </w:r>
    </w:p>
    <w:p>
      <w:pPr>
        <w:spacing w:after="40"/>
        <w:jc w:val="center"/>
      </w:pPr>
      <w:r>
        <w:drawing>
          <wp:inline xmlns:a="http://schemas.openxmlformats.org/drawingml/2006/main" xmlns:pic="http://schemas.openxmlformats.org/drawingml/2006/picture">
            <wp:extent cx="5623560" cy="2259066"/>
            <wp:docPr id="3" name="Picture 3"/>
            <wp:cNvGraphicFramePr>
              <a:graphicFrameLocks noChangeAspect="1"/>
            </wp:cNvGraphicFramePr>
            <a:graphic>
              <a:graphicData uri="http://schemas.openxmlformats.org/drawingml/2006/picture">
                <pic:pic>
                  <pic:nvPicPr>
                    <pic:cNvPr id="0" name="03_demand_heatmap.png"/>
                    <pic:cNvPicPr/>
                  </pic:nvPicPr>
                  <pic:blipFill>
                    <a:blip r:embed="rId12"/>
                    <a:stretch>
                      <a:fillRect/>
                    </a:stretch>
                  </pic:blipFill>
                  <pic:spPr>
                    <a:xfrm>
                      <a:off x="0" y="0"/>
                      <a:ext cx="5623560" cy="2259066"/>
                    </a:xfrm>
                    <a:prstGeom prst="rect"/>
                  </pic:spPr>
                </pic:pic>
              </a:graphicData>
            </a:graphic>
          </wp:inline>
        </w:drawing>
      </w:r>
    </w:p>
    <w:p>
      <w:pPr>
        <w:spacing w:before="40" w:after="240"/>
        <w:jc w:val="center"/>
      </w:pPr>
      <w:r>
        <w:rPr>
          <w:b w:val="0"/>
          <w:i/>
          <w:color w:val="77776F"/>
          <w:sz w:val="17"/>
        </w:rPr>
        <w:t>Figure 3. Distinct invoices by weekday and hour. Saturday is effectively empty; Sunday is not.</w:t>
      </w:r>
    </w:p>
    <w:p>
      <w:r>
        <w:rPr>
          <w:b/>
          <w:i w:val="0"/>
        </w:rPr>
        <w:t>All 30 Saturday orders in 25 months fall on a single date, 5 December 2009</w:t>
      </w:r>
      <w:r>
        <w:rPr>
          <w:b w:val="0"/>
          <w:i w:val="0"/>
        </w:rPr>
        <w:t>, leaving 104 of the 105 Saturdays in the window at zero - while Sunday processes 4,826 orders at weekday-like volumes. No customer base trades every Sunday and one Saturday in two years.</w:t>
      </w:r>
    </w:p>
    <w:p>
      <w:r>
        <w:rPr>
          <w:b w:val="0"/>
          <w:i w:val="0"/>
        </w:rPr>
        <w:t xml:space="preserve">The conclusion is that </w:t>
      </w:r>
      <w:r>
        <w:rPr>
          <w:rFonts w:ascii="Consolas" w:hAnsi="Consolas"/>
          <w:b w:val="0"/>
          <w:i w:val="0"/>
          <w:sz w:val="19"/>
        </w:rPr>
        <w:t>InvoiceDate</w:t>
      </w:r>
      <w:r>
        <w:rPr>
          <w:b w:val="0"/>
          <w:i w:val="0"/>
        </w:rPr>
        <w:t xml:space="preserve"> records </w:t>
      </w:r>
      <w:r>
        <w:rPr>
          <w:b/>
          <w:i w:val="0"/>
        </w:rPr>
        <w:t>when staff keyed the order in</w:t>
      </w:r>
      <w:r>
        <w:rPr>
          <w:b w:val="0"/>
          <w:i w:val="0"/>
        </w:rPr>
        <w:t>, not when the customer decided to buy. That makes the column worthless for any “best day to advertise” question and genuinely useful for staffing: 78.1% of all orders are processed between 10:00 and 15:59, peaking at 12:00, and the busiest day is Thursday with 8,200 orders.</w:t>
      </w:r>
    </w:p>
    <w:p>
      <w:pPr>
        <w:pStyle w:val="Heading2"/>
      </w:pPr>
      <w:r>
        <w:t>7.4  Products</w:t>
      </w:r>
    </w:p>
    <w:p>
      <w:pPr>
        <w:spacing w:after="40"/>
        <w:jc w:val="center"/>
      </w:pPr>
      <w:r>
        <w:drawing>
          <wp:inline xmlns:a="http://schemas.openxmlformats.org/drawingml/2006/main" xmlns:pic="http://schemas.openxmlformats.org/drawingml/2006/picture">
            <wp:extent cx="5623560" cy="2572553"/>
            <wp:docPr id="4" name="Picture 4"/>
            <wp:cNvGraphicFramePr>
              <a:graphicFrameLocks noChangeAspect="1"/>
            </wp:cNvGraphicFramePr>
            <a:graphic>
              <a:graphicData uri="http://schemas.openxmlformats.org/drawingml/2006/picture">
                <pic:pic>
                  <pic:nvPicPr>
                    <pic:cNvPr id="0" name="04_top_products.png"/>
                    <pic:cNvPicPr/>
                  </pic:nvPicPr>
                  <pic:blipFill>
                    <a:blip r:embed="rId13"/>
                    <a:stretch>
                      <a:fillRect/>
                    </a:stretch>
                  </pic:blipFill>
                  <pic:spPr>
                    <a:xfrm>
                      <a:off x="0" y="0"/>
                      <a:ext cx="5623560" cy="2572553"/>
                    </a:xfrm>
                    <a:prstGeom prst="rect"/>
                  </pic:spPr>
                </pic:pic>
              </a:graphicData>
            </a:graphic>
          </wp:inline>
        </w:drawing>
      </w:r>
    </w:p>
    <w:p>
      <w:pPr>
        <w:spacing w:before="40" w:after="240"/>
        <w:jc w:val="center"/>
      </w:pPr>
      <w:r>
        <w:rPr>
          <w:b w:val="0"/>
          <w:i/>
          <w:color w:val="77776F"/>
          <w:sz w:val="17"/>
        </w:rPr>
        <w:t>Figure 4. The ten highest-revenue products, net of nothing - see section 7.7 for what changes when returns are netted off.</w:t>
      </w:r>
    </w:p>
    <w:p>
      <w:pPr>
        <w:spacing w:before="40" w:after="40"/>
        <w:jc w:val="left"/>
      </w:pPr>
      <w:r>
        <w:rPr>
          <w:b w:val="0"/>
          <w:i/>
          <w:color w:val="77776F"/>
          <w:sz w:val="17"/>
        </w:rPr>
        <w:t>Table 7. Top ten products by merchandise revenue, out of 4,725 stock codes.</w:t>
      </w:r>
    </w:p>
    <w:tbl>
      <w:tblPr>
        <w:tblStyle w:val="LightGrid-Accent1"/>
        <w:tblW w:type="auto" w:w="0"/>
        <w:jc w:val="center"/>
        <w:tblLayout w:type="fixed"/>
        <w:tblLook w:firstColumn="1" w:firstRow="1" w:lastColumn="0" w:lastRow="0" w:noHBand="0" w:noVBand="1" w:val="04A0"/>
      </w:tblPr>
      <w:tblGrid>
        <w:gridCol w:w="1882"/>
        <w:gridCol w:w="1882"/>
        <w:gridCol w:w="1882"/>
        <w:gridCol w:w="1882"/>
        <w:gridCol w:w="1882"/>
      </w:tblGrid>
      <w:tr>
        <w:tc>
          <w:tcPr>
            <w:tcW w:type="dxa" w:w="3744"/>
          </w:tcPr>
          <w:p>
            <w:pPr>
              <w:spacing w:after="20" w:before="20"/>
            </w:pPr>
            <w:r>
              <w:rPr>
                <w:rFonts w:ascii="Calibri" w:hAnsi="Calibri"/>
                <w:b/>
                <w:sz w:val="17"/>
              </w:rPr>
            </w:r>
            <w:r>
              <w:rPr>
                <w:rFonts w:ascii="Calibri" w:hAnsi="Calibri"/>
                <w:b/>
                <w:sz w:val="17"/>
              </w:rPr>
              <w:t>Product</w:t>
            </w:r>
          </w:p>
        </w:tc>
        <w:tc>
          <w:tcPr>
            <w:tcW w:type="dxa" w:w="1368"/>
          </w:tcPr>
          <w:p>
            <w:pPr>
              <w:spacing w:after="20" w:before="20"/>
              <w:jc w:val="right"/>
            </w:pPr>
            <w:r>
              <w:rPr>
                <w:rFonts w:ascii="Calibri" w:hAnsi="Calibri"/>
                <w:b/>
                <w:sz w:val="17"/>
              </w:rPr>
            </w:r>
            <w:r>
              <w:rPr>
                <w:rFonts w:ascii="Calibri" w:hAnsi="Calibri"/>
                <w:b/>
                <w:sz w:val="17"/>
              </w:rPr>
              <w:t>Revenue</w:t>
            </w:r>
          </w:p>
        </w:tc>
        <w:tc>
          <w:tcPr>
            <w:tcW w:type="dxa" w:w="1080"/>
          </w:tcPr>
          <w:p>
            <w:pPr>
              <w:spacing w:after="20" w:before="20"/>
              <w:jc w:val="right"/>
            </w:pPr>
            <w:r>
              <w:rPr>
                <w:rFonts w:ascii="Calibri" w:hAnsi="Calibri"/>
                <w:b/>
                <w:sz w:val="17"/>
              </w:rPr>
            </w:r>
            <w:r>
              <w:rPr>
                <w:rFonts w:ascii="Calibri" w:hAnsi="Calibri"/>
                <w:b/>
                <w:sz w:val="17"/>
              </w:rPr>
              <w:t>Units</w:t>
            </w:r>
          </w:p>
        </w:tc>
        <w:tc>
          <w:tcPr>
            <w:tcW w:type="dxa" w:w="1008"/>
          </w:tcPr>
          <w:p>
            <w:pPr>
              <w:spacing w:after="20" w:before="20"/>
              <w:jc w:val="right"/>
            </w:pPr>
            <w:r>
              <w:rPr>
                <w:rFonts w:ascii="Calibri" w:hAnsi="Calibri"/>
                <w:b/>
                <w:sz w:val="17"/>
              </w:rPr>
            </w:r>
            <w:r>
              <w:rPr>
                <w:rFonts w:ascii="Calibri" w:hAnsi="Calibri"/>
                <w:b/>
                <w:sz w:val="17"/>
              </w:rPr>
              <w:t>Orders</w:t>
            </w:r>
          </w:p>
        </w:tc>
        <w:tc>
          <w:tcPr>
            <w:tcW w:type="dxa" w:w="1440"/>
          </w:tcPr>
          <w:p>
            <w:pPr>
              <w:spacing w:after="20" w:before="20"/>
              <w:jc w:val="right"/>
            </w:pPr>
            <w:r>
              <w:rPr>
                <w:rFonts w:ascii="Calibri" w:hAnsi="Calibri"/>
                <w:b/>
                <w:sz w:val="17"/>
              </w:rPr>
            </w:r>
            <w:r>
              <w:rPr>
                <w:rFonts w:ascii="Calibri" w:hAnsi="Calibri"/>
                <w:b/>
                <w:sz w:val="17"/>
              </w:rPr>
              <w:t>% of revenue</w:t>
            </w:r>
          </w:p>
        </w:tc>
      </w:tr>
      <w:tr>
        <w:tc>
          <w:tcPr>
            <w:tcW w:type="dxa" w:w="3744"/>
          </w:tcPr>
          <w:p>
            <w:pPr>
              <w:spacing w:after="20" w:before="20"/>
            </w:pPr>
            <w:r>
              <w:rPr>
                <w:rFonts w:ascii="Calibri" w:hAnsi="Calibri"/>
                <w:b w:val="0"/>
                <w:sz w:val="17"/>
              </w:rPr>
            </w:r>
            <w:r>
              <w:rPr>
                <w:rFonts w:ascii="Calibri" w:hAnsi="Calibri"/>
                <w:b w:val="0"/>
                <w:sz w:val="17"/>
              </w:rPr>
              <w:t>Regency Cakestand 3 Tier</w:t>
            </w:r>
          </w:p>
        </w:tc>
        <w:tc>
          <w:tcPr>
            <w:tcW w:type="dxa" w:w="1368"/>
          </w:tcPr>
          <w:p>
            <w:pPr>
              <w:spacing w:after="20" w:before="20"/>
              <w:jc w:val="right"/>
            </w:pPr>
            <w:r>
              <w:rPr>
                <w:rFonts w:ascii="Calibri" w:hAnsi="Calibri"/>
                <w:b w:val="0"/>
                <w:sz w:val="17"/>
              </w:rPr>
            </w:r>
            <w:r>
              <w:rPr>
                <w:rFonts w:ascii="Calibri" w:hAnsi="Calibri"/>
                <w:b w:val="0"/>
                <w:sz w:val="17"/>
              </w:rPr>
              <w:t>£344,069</w:t>
            </w:r>
          </w:p>
        </w:tc>
        <w:tc>
          <w:tcPr>
            <w:tcW w:type="dxa" w:w="1080"/>
          </w:tcPr>
          <w:p>
            <w:pPr>
              <w:spacing w:after="20" w:before="20"/>
              <w:jc w:val="right"/>
            </w:pPr>
            <w:r>
              <w:rPr>
                <w:rFonts w:ascii="Calibri" w:hAnsi="Calibri"/>
                <w:b w:val="0"/>
                <w:sz w:val="17"/>
              </w:rPr>
            </w:r>
            <w:r>
              <w:rPr>
                <w:rFonts w:ascii="Calibri" w:hAnsi="Calibri"/>
                <w:b w:val="0"/>
                <w:sz w:val="17"/>
              </w:rPr>
              <w:t>27,536</w:t>
            </w:r>
          </w:p>
        </w:tc>
        <w:tc>
          <w:tcPr>
            <w:tcW w:type="dxa" w:w="1008"/>
          </w:tcPr>
          <w:p>
            <w:pPr>
              <w:spacing w:after="20" w:before="20"/>
              <w:jc w:val="right"/>
            </w:pPr>
            <w:r>
              <w:rPr>
                <w:rFonts w:ascii="Calibri" w:hAnsi="Calibri"/>
                <w:b w:val="0"/>
                <w:sz w:val="17"/>
              </w:rPr>
            </w:r>
            <w:r>
              <w:rPr>
                <w:rFonts w:ascii="Calibri" w:hAnsi="Calibri"/>
                <w:b w:val="0"/>
                <w:sz w:val="17"/>
              </w:rPr>
              <w:t>3,918</w:t>
            </w:r>
          </w:p>
        </w:tc>
        <w:tc>
          <w:tcPr>
            <w:tcW w:type="dxa" w:w="1440"/>
          </w:tcPr>
          <w:p>
            <w:pPr>
              <w:spacing w:after="20" w:before="20"/>
              <w:jc w:val="right"/>
            </w:pPr>
            <w:r>
              <w:rPr>
                <w:rFonts w:ascii="Calibri" w:hAnsi="Calibri"/>
                <w:b w:val="0"/>
                <w:sz w:val="17"/>
              </w:rPr>
            </w:r>
            <w:r>
              <w:rPr>
                <w:rFonts w:ascii="Calibri" w:hAnsi="Calibri"/>
                <w:b w:val="0"/>
                <w:sz w:val="17"/>
              </w:rPr>
              <w:t>1.72%</w:t>
            </w:r>
          </w:p>
        </w:tc>
      </w:tr>
      <w:tr>
        <w:tc>
          <w:tcPr>
            <w:tcW w:type="dxa" w:w="3744"/>
          </w:tcPr>
          <w:p>
            <w:pPr>
              <w:spacing w:after="20" w:before="20"/>
            </w:pPr>
            <w:r>
              <w:rPr>
                <w:rFonts w:ascii="Calibri" w:hAnsi="Calibri"/>
                <w:b w:val="0"/>
                <w:sz w:val="17"/>
              </w:rPr>
            </w:r>
            <w:r>
              <w:rPr>
                <w:rFonts w:ascii="Calibri" w:hAnsi="Calibri"/>
                <w:b w:val="0"/>
                <w:sz w:val="17"/>
              </w:rPr>
              <w:t>White Hanging Heart T-Light Holder</w:t>
            </w:r>
          </w:p>
        </w:tc>
        <w:tc>
          <w:tcPr>
            <w:tcW w:type="dxa" w:w="1368"/>
          </w:tcPr>
          <w:p>
            <w:pPr>
              <w:spacing w:after="20" w:before="20"/>
              <w:jc w:val="right"/>
            </w:pPr>
            <w:r>
              <w:rPr>
                <w:rFonts w:ascii="Calibri" w:hAnsi="Calibri"/>
                <w:b w:val="0"/>
                <w:sz w:val="17"/>
              </w:rPr>
            </w:r>
            <w:r>
              <w:rPr>
                <w:rFonts w:ascii="Calibri" w:hAnsi="Calibri"/>
                <w:b w:val="0"/>
                <w:sz w:val="17"/>
              </w:rPr>
              <w:t>£266,761</w:t>
            </w:r>
          </w:p>
        </w:tc>
        <w:tc>
          <w:tcPr>
            <w:tcW w:type="dxa" w:w="1080"/>
          </w:tcPr>
          <w:p>
            <w:pPr>
              <w:spacing w:after="20" w:before="20"/>
              <w:jc w:val="right"/>
            </w:pPr>
            <w:r>
              <w:rPr>
                <w:rFonts w:ascii="Calibri" w:hAnsi="Calibri"/>
                <w:b w:val="0"/>
                <w:sz w:val="17"/>
              </w:rPr>
            </w:r>
            <w:r>
              <w:rPr>
                <w:rFonts w:ascii="Calibri" w:hAnsi="Calibri"/>
                <w:b w:val="0"/>
                <w:sz w:val="17"/>
              </w:rPr>
              <w:t>96,624</w:t>
            </w:r>
          </w:p>
        </w:tc>
        <w:tc>
          <w:tcPr>
            <w:tcW w:type="dxa" w:w="1008"/>
          </w:tcPr>
          <w:p>
            <w:pPr>
              <w:spacing w:after="20" w:before="20"/>
              <w:jc w:val="right"/>
            </w:pPr>
            <w:r>
              <w:rPr>
                <w:rFonts w:ascii="Calibri" w:hAnsi="Calibri"/>
                <w:b w:val="0"/>
                <w:sz w:val="17"/>
              </w:rPr>
            </w:r>
            <w:r>
              <w:rPr>
                <w:rFonts w:ascii="Calibri" w:hAnsi="Calibri"/>
                <w:b w:val="0"/>
                <w:sz w:val="17"/>
              </w:rPr>
              <w:t>5,464</w:t>
            </w:r>
          </w:p>
        </w:tc>
        <w:tc>
          <w:tcPr>
            <w:tcW w:type="dxa" w:w="1440"/>
          </w:tcPr>
          <w:p>
            <w:pPr>
              <w:spacing w:after="20" w:before="20"/>
              <w:jc w:val="right"/>
            </w:pPr>
            <w:r>
              <w:rPr>
                <w:rFonts w:ascii="Calibri" w:hAnsi="Calibri"/>
                <w:b w:val="0"/>
                <w:sz w:val="17"/>
              </w:rPr>
            </w:r>
            <w:r>
              <w:rPr>
                <w:rFonts w:ascii="Calibri" w:hAnsi="Calibri"/>
                <w:b w:val="0"/>
                <w:sz w:val="17"/>
              </w:rPr>
              <w:t>1.33%</w:t>
            </w:r>
          </w:p>
        </w:tc>
      </w:tr>
      <w:tr>
        <w:tc>
          <w:tcPr>
            <w:tcW w:type="dxa" w:w="3744"/>
          </w:tcPr>
          <w:p>
            <w:pPr>
              <w:spacing w:after="20" w:before="20"/>
            </w:pPr>
            <w:r>
              <w:rPr>
                <w:rFonts w:ascii="Calibri" w:hAnsi="Calibri"/>
                <w:b w:val="0"/>
                <w:sz w:val="17"/>
              </w:rPr>
            </w:r>
            <w:r>
              <w:rPr>
                <w:rFonts w:ascii="Calibri" w:hAnsi="Calibri"/>
                <w:b w:val="0"/>
                <w:sz w:val="17"/>
              </w:rPr>
              <w:t>Jumbo Bag Red Retrospot</w:t>
            </w:r>
          </w:p>
        </w:tc>
        <w:tc>
          <w:tcPr>
            <w:tcW w:type="dxa" w:w="1368"/>
          </w:tcPr>
          <w:p>
            <w:pPr>
              <w:spacing w:after="20" w:before="20"/>
              <w:jc w:val="right"/>
            </w:pPr>
            <w:r>
              <w:rPr>
                <w:rFonts w:ascii="Calibri" w:hAnsi="Calibri"/>
                <w:b w:val="0"/>
                <w:sz w:val="17"/>
              </w:rPr>
            </w:r>
            <w:r>
              <w:rPr>
                <w:rFonts w:ascii="Calibri" w:hAnsi="Calibri"/>
                <w:b w:val="0"/>
                <w:sz w:val="17"/>
              </w:rPr>
              <w:t>£185,248</w:t>
            </w:r>
          </w:p>
        </w:tc>
        <w:tc>
          <w:tcPr>
            <w:tcW w:type="dxa" w:w="1080"/>
          </w:tcPr>
          <w:p>
            <w:pPr>
              <w:spacing w:after="20" w:before="20"/>
              <w:jc w:val="right"/>
            </w:pPr>
            <w:r>
              <w:rPr>
                <w:rFonts w:ascii="Calibri" w:hAnsi="Calibri"/>
                <w:b w:val="0"/>
                <w:sz w:val="17"/>
              </w:rPr>
            </w:r>
            <w:r>
              <w:rPr>
                <w:rFonts w:ascii="Calibri" w:hAnsi="Calibri"/>
                <w:b w:val="0"/>
                <w:sz w:val="17"/>
              </w:rPr>
              <w:t>98,594</w:t>
            </w:r>
          </w:p>
        </w:tc>
        <w:tc>
          <w:tcPr>
            <w:tcW w:type="dxa" w:w="1008"/>
          </w:tcPr>
          <w:p>
            <w:pPr>
              <w:spacing w:after="20" w:before="20"/>
              <w:jc w:val="right"/>
            </w:pPr>
            <w:r>
              <w:rPr>
                <w:rFonts w:ascii="Calibri" w:hAnsi="Calibri"/>
                <w:b w:val="0"/>
                <w:sz w:val="17"/>
              </w:rPr>
            </w:r>
            <w:r>
              <w:rPr>
                <w:rFonts w:ascii="Calibri" w:hAnsi="Calibri"/>
                <w:b w:val="0"/>
                <w:sz w:val="17"/>
              </w:rPr>
              <w:t>4,013</w:t>
            </w:r>
          </w:p>
        </w:tc>
        <w:tc>
          <w:tcPr>
            <w:tcW w:type="dxa" w:w="1440"/>
          </w:tcPr>
          <w:p>
            <w:pPr>
              <w:spacing w:after="20" w:before="20"/>
              <w:jc w:val="right"/>
            </w:pPr>
            <w:r>
              <w:rPr>
                <w:rFonts w:ascii="Calibri" w:hAnsi="Calibri"/>
                <w:b w:val="0"/>
                <w:sz w:val="17"/>
              </w:rPr>
            </w:r>
            <w:r>
              <w:rPr>
                <w:rFonts w:ascii="Calibri" w:hAnsi="Calibri"/>
                <w:b w:val="0"/>
                <w:sz w:val="17"/>
              </w:rPr>
              <w:t>0.92%</w:t>
            </w:r>
          </w:p>
        </w:tc>
      </w:tr>
      <w:tr>
        <w:tc>
          <w:tcPr>
            <w:tcW w:type="dxa" w:w="3744"/>
          </w:tcPr>
          <w:p>
            <w:pPr>
              <w:spacing w:after="20" w:before="20"/>
            </w:pPr>
            <w:r>
              <w:rPr>
                <w:rFonts w:ascii="Calibri" w:hAnsi="Calibri"/>
                <w:b w:val="0"/>
                <w:sz w:val="17"/>
              </w:rPr>
            </w:r>
            <w:r>
              <w:rPr>
                <w:rFonts w:ascii="Calibri" w:hAnsi="Calibri"/>
                <w:b w:val="0"/>
                <w:sz w:val="17"/>
              </w:rPr>
              <w:t>Paper Craft , Little Birdie</w:t>
            </w:r>
          </w:p>
        </w:tc>
        <w:tc>
          <w:tcPr>
            <w:tcW w:type="dxa" w:w="1368"/>
          </w:tcPr>
          <w:p>
            <w:pPr>
              <w:spacing w:after="20" w:before="20"/>
              <w:jc w:val="right"/>
            </w:pPr>
            <w:r>
              <w:rPr>
                <w:rFonts w:ascii="Calibri" w:hAnsi="Calibri"/>
                <w:b w:val="0"/>
                <w:sz w:val="17"/>
              </w:rPr>
            </w:r>
            <w:r>
              <w:rPr>
                <w:rFonts w:ascii="Calibri" w:hAnsi="Calibri"/>
                <w:b w:val="0"/>
                <w:sz w:val="17"/>
              </w:rPr>
              <w:t>£168,470</w:t>
            </w:r>
          </w:p>
        </w:tc>
        <w:tc>
          <w:tcPr>
            <w:tcW w:type="dxa" w:w="1080"/>
          </w:tcPr>
          <w:p>
            <w:pPr>
              <w:spacing w:after="20" w:before="20"/>
              <w:jc w:val="right"/>
            </w:pPr>
            <w:r>
              <w:rPr>
                <w:rFonts w:ascii="Calibri" w:hAnsi="Calibri"/>
                <w:b w:val="0"/>
                <w:sz w:val="17"/>
              </w:rPr>
            </w:r>
            <w:r>
              <w:rPr>
                <w:rFonts w:ascii="Calibri" w:hAnsi="Calibri"/>
                <w:b w:val="0"/>
                <w:sz w:val="17"/>
              </w:rPr>
              <w:t>80,995</w:t>
            </w:r>
          </w:p>
        </w:tc>
        <w:tc>
          <w:tcPr>
            <w:tcW w:type="dxa" w:w="1008"/>
          </w:tcPr>
          <w:p>
            <w:pPr>
              <w:spacing w:after="20" w:before="20"/>
              <w:jc w:val="right"/>
            </w:pPr>
            <w:r>
              <w:rPr>
                <w:rFonts w:ascii="Calibri" w:hAnsi="Calibri"/>
                <w:b w:val="0"/>
                <w:sz w:val="17"/>
              </w:rPr>
            </w:r>
            <w:r>
              <w:rPr>
                <w:rFonts w:ascii="Calibri" w:hAnsi="Calibri"/>
                <w:b w:val="0"/>
                <w:sz w:val="17"/>
              </w:rPr>
              <w:t>1</w:t>
            </w:r>
          </w:p>
        </w:tc>
        <w:tc>
          <w:tcPr>
            <w:tcW w:type="dxa" w:w="1440"/>
          </w:tcPr>
          <w:p>
            <w:pPr>
              <w:spacing w:after="20" w:before="20"/>
              <w:jc w:val="right"/>
            </w:pPr>
            <w:r>
              <w:rPr>
                <w:rFonts w:ascii="Calibri" w:hAnsi="Calibri"/>
                <w:b w:val="0"/>
                <w:sz w:val="17"/>
              </w:rPr>
            </w:r>
            <w:r>
              <w:rPr>
                <w:rFonts w:ascii="Calibri" w:hAnsi="Calibri"/>
                <w:b w:val="0"/>
                <w:sz w:val="17"/>
              </w:rPr>
              <w:t>0.84%</w:t>
            </w:r>
          </w:p>
        </w:tc>
      </w:tr>
      <w:tr>
        <w:tc>
          <w:tcPr>
            <w:tcW w:type="dxa" w:w="3744"/>
          </w:tcPr>
          <w:p>
            <w:pPr>
              <w:spacing w:after="20" w:before="20"/>
            </w:pPr>
            <w:r>
              <w:rPr>
                <w:rFonts w:ascii="Calibri" w:hAnsi="Calibri"/>
                <w:b w:val="0"/>
                <w:sz w:val="17"/>
              </w:rPr>
            </w:r>
            <w:r>
              <w:rPr>
                <w:rFonts w:ascii="Calibri" w:hAnsi="Calibri"/>
                <w:b w:val="0"/>
                <w:sz w:val="17"/>
              </w:rPr>
              <w:t>Party Bunting</w:t>
            </w:r>
          </w:p>
        </w:tc>
        <w:tc>
          <w:tcPr>
            <w:tcW w:type="dxa" w:w="1368"/>
          </w:tcPr>
          <w:p>
            <w:pPr>
              <w:spacing w:after="20" w:before="20"/>
              <w:jc w:val="right"/>
            </w:pPr>
            <w:r>
              <w:rPr>
                <w:rFonts w:ascii="Calibri" w:hAnsi="Calibri"/>
                <w:b w:val="0"/>
                <w:sz w:val="17"/>
              </w:rPr>
            </w:r>
            <w:r>
              <w:rPr>
                <w:rFonts w:ascii="Calibri" w:hAnsi="Calibri"/>
                <w:b w:val="0"/>
                <w:sz w:val="17"/>
              </w:rPr>
              <w:t>£149,109</w:t>
            </w:r>
          </w:p>
        </w:tc>
        <w:tc>
          <w:tcPr>
            <w:tcW w:type="dxa" w:w="1080"/>
          </w:tcPr>
          <w:p>
            <w:pPr>
              <w:spacing w:after="20" w:before="20"/>
              <w:jc w:val="right"/>
            </w:pPr>
            <w:r>
              <w:rPr>
                <w:rFonts w:ascii="Calibri" w:hAnsi="Calibri"/>
                <w:b w:val="0"/>
                <w:sz w:val="17"/>
              </w:rPr>
            </w:r>
            <w:r>
              <w:rPr>
                <w:rFonts w:ascii="Calibri" w:hAnsi="Calibri"/>
                <w:b w:val="0"/>
                <w:sz w:val="17"/>
              </w:rPr>
              <w:t>28,362</w:t>
            </w:r>
          </w:p>
        </w:tc>
        <w:tc>
          <w:tcPr>
            <w:tcW w:type="dxa" w:w="1008"/>
          </w:tcPr>
          <w:p>
            <w:pPr>
              <w:spacing w:after="20" w:before="20"/>
              <w:jc w:val="right"/>
            </w:pPr>
            <w:r>
              <w:rPr>
                <w:rFonts w:ascii="Calibri" w:hAnsi="Calibri"/>
                <w:b w:val="0"/>
                <w:sz w:val="17"/>
              </w:rPr>
            </w:r>
            <w:r>
              <w:rPr>
                <w:rFonts w:ascii="Calibri" w:hAnsi="Calibri"/>
                <w:b w:val="0"/>
                <w:sz w:val="17"/>
              </w:rPr>
              <w:t>2,674</w:t>
            </w:r>
          </w:p>
        </w:tc>
        <w:tc>
          <w:tcPr>
            <w:tcW w:type="dxa" w:w="1440"/>
          </w:tcPr>
          <w:p>
            <w:pPr>
              <w:spacing w:after="20" w:before="20"/>
              <w:jc w:val="right"/>
            </w:pPr>
            <w:r>
              <w:rPr>
                <w:rFonts w:ascii="Calibri" w:hAnsi="Calibri"/>
                <w:b w:val="0"/>
                <w:sz w:val="17"/>
              </w:rPr>
            </w:r>
            <w:r>
              <w:rPr>
                <w:rFonts w:ascii="Calibri" w:hAnsi="Calibri"/>
                <w:b w:val="0"/>
                <w:sz w:val="17"/>
              </w:rPr>
              <w:t>0.74%</w:t>
            </w:r>
          </w:p>
        </w:tc>
      </w:tr>
      <w:tr>
        <w:tc>
          <w:tcPr>
            <w:tcW w:type="dxa" w:w="3744"/>
          </w:tcPr>
          <w:p>
            <w:pPr>
              <w:spacing w:after="20" w:before="20"/>
            </w:pPr>
            <w:r>
              <w:rPr>
                <w:rFonts w:ascii="Calibri" w:hAnsi="Calibri"/>
                <w:b w:val="0"/>
                <w:sz w:val="17"/>
              </w:rPr>
            </w:r>
            <w:r>
              <w:rPr>
                <w:rFonts w:ascii="Calibri" w:hAnsi="Calibri"/>
                <w:b w:val="0"/>
                <w:sz w:val="17"/>
              </w:rPr>
              <w:t>Assorted Colour Bird Ornament</w:t>
            </w:r>
          </w:p>
        </w:tc>
        <w:tc>
          <w:tcPr>
            <w:tcW w:type="dxa" w:w="1368"/>
          </w:tcPr>
          <w:p>
            <w:pPr>
              <w:spacing w:after="20" w:before="20"/>
              <w:jc w:val="right"/>
            </w:pPr>
            <w:r>
              <w:rPr>
                <w:rFonts w:ascii="Calibri" w:hAnsi="Calibri"/>
                <w:b w:val="0"/>
                <w:sz w:val="17"/>
              </w:rPr>
            </w:r>
            <w:r>
              <w:rPr>
                <w:rFonts w:ascii="Calibri" w:hAnsi="Calibri"/>
                <w:b w:val="0"/>
                <w:sz w:val="17"/>
              </w:rPr>
              <w:t>£131,818</w:t>
            </w:r>
          </w:p>
        </w:tc>
        <w:tc>
          <w:tcPr>
            <w:tcW w:type="dxa" w:w="1080"/>
          </w:tcPr>
          <w:p>
            <w:pPr>
              <w:spacing w:after="20" w:before="20"/>
              <w:jc w:val="right"/>
            </w:pPr>
            <w:r>
              <w:rPr>
                <w:rFonts w:ascii="Calibri" w:hAnsi="Calibri"/>
                <w:b w:val="0"/>
                <w:sz w:val="17"/>
              </w:rPr>
            </w:r>
            <w:r>
              <w:rPr>
                <w:rFonts w:ascii="Calibri" w:hAnsi="Calibri"/>
                <w:b w:val="0"/>
                <w:sz w:val="17"/>
              </w:rPr>
              <w:t>81,590</w:t>
            </w:r>
          </w:p>
        </w:tc>
        <w:tc>
          <w:tcPr>
            <w:tcW w:type="dxa" w:w="1008"/>
          </w:tcPr>
          <w:p>
            <w:pPr>
              <w:spacing w:after="20" w:before="20"/>
              <w:jc w:val="right"/>
            </w:pPr>
            <w:r>
              <w:rPr>
                <w:rFonts w:ascii="Calibri" w:hAnsi="Calibri"/>
                <w:b w:val="0"/>
                <w:sz w:val="17"/>
              </w:rPr>
            </w:r>
            <w:r>
              <w:rPr>
                <w:rFonts w:ascii="Calibri" w:hAnsi="Calibri"/>
                <w:b w:val="0"/>
                <w:sz w:val="17"/>
              </w:rPr>
              <w:t>2,807</w:t>
            </w:r>
          </w:p>
        </w:tc>
        <w:tc>
          <w:tcPr>
            <w:tcW w:type="dxa" w:w="1440"/>
          </w:tcPr>
          <w:p>
            <w:pPr>
              <w:spacing w:after="20" w:before="20"/>
              <w:jc w:val="right"/>
            </w:pPr>
            <w:r>
              <w:rPr>
                <w:rFonts w:ascii="Calibri" w:hAnsi="Calibri"/>
                <w:b w:val="0"/>
                <w:sz w:val="17"/>
              </w:rPr>
            </w:r>
            <w:r>
              <w:rPr>
                <w:rFonts w:ascii="Calibri" w:hAnsi="Calibri"/>
                <w:b w:val="0"/>
                <w:sz w:val="17"/>
              </w:rPr>
              <w:t>0.66%</w:t>
            </w:r>
          </w:p>
        </w:tc>
      </w:tr>
      <w:tr>
        <w:tc>
          <w:tcPr>
            <w:tcW w:type="dxa" w:w="3744"/>
          </w:tcPr>
          <w:p>
            <w:pPr>
              <w:spacing w:after="20" w:before="20"/>
            </w:pPr>
            <w:r>
              <w:rPr>
                <w:rFonts w:ascii="Calibri" w:hAnsi="Calibri"/>
                <w:b w:val="0"/>
                <w:sz w:val="17"/>
              </w:rPr>
            </w:r>
            <w:r>
              <w:rPr>
                <w:rFonts w:ascii="Calibri" w:hAnsi="Calibri"/>
                <w:b w:val="0"/>
                <w:sz w:val="17"/>
              </w:rPr>
              <w:t>Paper Chain Kit 50'S Christmas</w:t>
            </w:r>
          </w:p>
        </w:tc>
        <w:tc>
          <w:tcPr>
            <w:tcW w:type="dxa" w:w="1368"/>
          </w:tcPr>
          <w:p>
            <w:pPr>
              <w:spacing w:after="20" w:before="20"/>
              <w:jc w:val="right"/>
            </w:pPr>
            <w:r>
              <w:rPr>
                <w:rFonts w:ascii="Calibri" w:hAnsi="Calibri"/>
                <w:b w:val="0"/>
                <w:sz w:val="17"/>
              </w:rPr>
            </w:r>
            <w:r>
              <w:rPr>
                <w:rFonts w:ascii="Calibri" w:hAnsi="Calibri"/>
                <w:b w:val="0"/>
                <w:sz w:val="17"/>
              </w:rPr>
              <w:t>£123,003</w:t>
            </w:r>
          </w:p>
        </w:tc>
        <w:tc>
          <w:tcPr>
            <w:tcW w:type="dxa" w:w="1080"/>
          </w:tcPr>
          <w:p>
            <w:pPr>
              <w:spacing w:after="20" w:before="20"/>
              <w:jc w:val="right"/>
            </w:pPr>
            <w:r>
              <w:rPr>
                <w:rFonts w:ascii="Calibri" w:hAnsi="Calibri"/>
                <w:b w:val="0"/>
                <w:sz w:val="17"/>
              </w:rPr>
            </w:r>
            <w:r>
              <w:rPr>
                <w:rFonts w:ascii="Calibri" w:hAnsi="Calibri"/>
                <w:b w:val="0"/>
                <w:sz w:val="17"/>
              </w:rPr>
              <w:t>36,534</w:t>
            </w:r>
          </w:p>
        </w:tc>
        <w:tc>
          <w:tcPr>
            <w:tcW w:type="dxa" w:w="1008"/>
          </w:tcPr>
          <w:p>
            <w:pPr>
              <w:spacing w:after="20" w:before="20"/>
              <w:jc w:val="right"/>
            </w:pPr>
            <w:r>
              <w:rPr>
                <w:rFonts w:ascii="Calibri" w:hAnsi="Calibri"/>
                <w:b w:val="0"/>
                <w:sz w:val="17"/>
              </w:rPr>
            </w:r>
            <w:r>
              <w:rPr>
                <w:rFonts w:ascii="Calibri" w:hAnsi="Calibri"/>
                <w:b w:val="0"/>
                <w:sz w:val="17"/>
              </w:rPr>
              <w:t>2,018</w:t>
            </w:r>
          </w:p>
        </w:tc>
        <w:tc>
          <w:tcPr>
            <w:tcW w:type="dxa" w:w="1440"/>
          </w:tcPr>
          <w:p>
            <w:pPr>
              <w:spacing w:after="20" w:before="20"/>
              <w:jc w:val="right"/>
            </w:pPr>
            <w:r>
              <w:rPr>
                <w:rFonts w:ascii="Calibri" w:hAnsi="Calibri"/>
                <w:b w:val="0"/>
                <w:sz w:val="17"/>
              </w:rPr>
            </w:r>
            <w:r>
              <w:rPr>
                <w:rFonts w:ascii="Calibri" w:hAnsi="Calibri"/>
                <w:b w:val="0"/>
                <w:sz w:val="17"/>
              </w:rPr>
              <w:t>0.61%</w:t>
            </w:r>
          </w:p>
        </w:tc>
      </w:tr>
      <w:tr>
        <w:tc>
          <w:tcPr>
            <w:tcW w:type="dxa" w:w="3744"/>
          </w:tcPr>
          <w:p>
            <w:pPr>
              <w:spacing w:after="20" w:before="20"/>
            </w:pPr>
            <w:r>
              <w:rPr>
                <w:rFonts w:ascii="Calibri" w:hAnsi="Calibri"/>
                <w:b w:val="0"/>
                <w:sz w:val="17"/>
              </w:rPr>
            </w:r>
            <w:r>
              <w:rPr>
                <w:rFonts w:ascii="Calibri" w:hAnsi="Calibri"/>
                <w:b w:val="0"/>
                <w:sz w:val="17"/>
              </w:rPr>
              <w:t>Chilli Lights</w:t>
            </w:r>
          </w:p>
        </w:tc>
        <w:tc>
          <w:tcPr>
            <w:tcW w:type="dxa" w:w="1368"/>
          </w:tcPr>
          <w:p>
            <w:pPr>
              <w:spacing w:after="20" w:before="20"/>
              <w:jc w:val="right"/>
            </w:pPr>
            <w:r>
              <w:rPr>
                <w:rFonts w:ascii="Calibri" w:hAnsi="Calibri"/>
                <w:b w:val="0"/>
                <w:sz w:val="17"/>
              </w:rPr>
            </w:r>
            <w:r>
              <w:rPr>
                <w:rFonts w:ascii="Calibri" w:hAnsi="Calibri"/>
                <w:b w:val="0"/>
                <w:sz w:val="17"/>
              </w:rPr>
              <w:t>£85,158</w:t>
            </w:r>
          </w:p>
        </w:tc>
        <w:tc>
          <w:tcPr>
            <w:tcW w:type="dxa" w:w="1080"/>
          </w:tcPr>
          <w:p>
            <w:pPr>
              <w:spacing w:after="20" w:before="20"/>
              <w:jc w:val="right"/>
            </w:pPr>
            <w:r>
              <w:rPr>
                <w:rFonts w:ascii="Calibri" w:hAnsi="Calibri"/>
                <w:b w:val="0"/>
                <w:sz w:val="17"/>
              </w:rPr>
            </w:r>
            <w:r>
              <w:rPr>
                <w:rFonts w:ascii="Calibri" w:hAnsi="Calibri"/>
                <w:b w:val="0"/>
                <w:sz w:val="17"/>
              </w:rPr>
              <w:t>16,763</w:t>
            </w:r>
          </w:p>
        </w:tc>
        <w:tc>
          <w:tcPr>
            <w:tcW w:type="dxa" w:w="1008"/>
          </w:tcPr>
          <w:p>
            <w:pPr>
              <w:spacing w:after="20" w:before="20"/>
              <w:jc w:val="right"/>
            </w:pPr>
            <w:r>
              <w:rPr>
                <w:rFonts w:ascii="Calibri" w:hAnsi="Calibri"/>
                <w:b w:val="0"/>
                <w:sz w:val="17"/>
              </w:rPr>
            </w:r>
            <w:r>
              <w:rPr>
                <w:rFonts w:ascii="Calibri" w:hAnsi="Calibri"/>
                <w:b w:val="0"/>
                <w:sz w:val="17"/>
              </w:rPr>
              <w:t>1,135</w:t>
            </w:r>
          </w:p>
        </w:tc>
        <w:tc>
          <w:tcPr>
            <w:tcW w:type="dxa" w:w="1440"/>
          </w:tcPr>
          <w:p>
            <w:pPr>
              <w:spacing w:after="20" w:before="20"/>
              <w:jc w:val="right"/>
            </w:pPr>
            <w:r>
              <w:rPr>
                <w:rFonts w:ascii="Calibri" w:hAnsi="Calibri"/>
                <w:b w:val="0"/>
                <w:sz w:val="17"/>
              </w:rPr>
            </w:r>
            <w:r>
              <w:rPr>
                <w:rFonts w:ascii="Calibri" w:hAnsi="Calibri"/>
                <w:b w:val="0"/>
                <w:sz w:val="17"/>
              </w:rPr>
              <w:t>0.42%</w:t>
            </w:r>
          </w:p>
        </w:tc>
      </w:tr>
      <w:tr>
        <w:tc>
          <w:tcPr>
            <w:tcW w:type="dxa" w:w="3744"/>
          </w:tcPr>
          <w:p>
            <w:pPr>
              <w:spacing w:after="20" w:before="20"/>
            </w:pPr>
            <w:r>
              <w:rPr>
                <w:rFonts w:ascii="Calibri" w:hAnsi="Calibri"/>
                <w:b w:val="0"/>
                <w:sz w:val="17"/>
              </w:rPr>
            </w:r>
            <w:r>
              <w:rPr>
                <w:rFonts w:ascii="Calibri" w:hAnsi="Calibri"/>
                <w:b w:val="0"/>
                <w:sz w:val="17"/>
              </w:rPr>
              <w:t>Medium Ceramic Top Storage Jar</w:t>
            </w:r>
          </w:p>
        </w:tc>
        <w:tc>
          <w:tcPr>
            <w:tcW w:type="dxa" w:w="1368"/>
          </w:tcPr>
          <w:p>
            <w:pPr>
              <w:spacing w:after="20" w:before="20"/>
              <w:jc w:val="right"/>
            </w:pPr>
            <w:r>
              <w:rPr>
                <w:rFonts w:ascii="Calibri" w:hAnsi="Calibri"/>
                <w:b w:val="0"/>
                <w:sz w:val="17"/>
              </w:rPr>
            </w:r>
            <w:r>
              <w:rPr>
                <w:rFonts w:ascii="Calibri" w:hAnsi="Calibri"/>
                <w:b w:val="0"/>
                <w:sz w:val="17"/>
              </w:rPr>
              <w:t>£81,701</w:t>
            </w:r>
          </w:p>
        </w:tc>
        <w:tc>
          <w:tcPr>
            <w:tcW w:type="dxa" w:w="1080"/>
          </w:tcPr>
          <w:p>
            <w:pPr>
              <w:spacing w:after="20" w:before="20"/>
              <w:jc w:val="right"/>
            </w:pPr>
            <w:r>
              <w:rPr>
                <w:rFonts w:ascii="Calibri" w:hAnsi="Calibri"/>
                <w:b w:val="0"/>
                <w:sz w:val="17"/>
              </w:rPr>
            </w:r>
            <w:r>
              <w:rPr>
                <w:rFonts w:ascii="Calibri" w:hAnsi="Calibri"/>
                <w:b w:val="0"/>
                <w:sz w:val="17"/>
              </w:rPr>
              <w:t>78,033</w:t>
            </w:r>
          </w:p>
        </w:tc>
        <w:tc>
          <w:tcPr>
            <w:tcW w:type="dxa" w:w="1008"/>
          </w:tcPr>
          <w:p>
            <w:pPr>
              <w:spacing w:after="20" w:before="20"/>
              <w:jc w:val="right"/>
            </w:pPr>
            <w:r>
              <w:rPr>
                <w:rFonts w:ascii="Calibri" w:hAnsi="Calibri"/>
                <w:b w:val="0"/>
                <w:sz w:val="17"/>
              </w:rPr>
            </w:r>
            <w:r>
              <w:rPr>
                <w:rFonts w:ascii="Calibri" w:hAnsi="Calibri"/>
                <w:b w:val="0"/>
                <w:sz w:val="17"/>
              </w:rPr>
              <w:t>247</w:t>
            </w:r>
          </w:p>
        </w:tc>
        <w:tc>
          <w:tcPr>
            <w:tcW w:type="dxa" w:w="1440"/>
          </w:tcPr>
          <w:p>
            <w:pPr>
              <w:spacing w:after="20" w:before="20"/>
              <w:jc w:val="right"/>
            </w:pPr>
            <w:r>
              <w:rPr>
                <w:rFonts w:ascii="Calibri" w:hAnsi="Calibri"/>
                <w:b w:val="0"/>
                <w:sz w:val="17"/>
              </w:rPr>
            </w:r>
            <w:r>
              <w:rPr>
                <w:rFonts w:ascii="Calibri" w:hAnsi="Calibri"/>
                <w:b w:val="0"/>
                <w:sz w:val="17"/>
              </w:rPr>
              <w:t>0.41%</w:t>
            </w:r>
          </w:p>
        </w:tc>
      </w:tr>
      <w:tr>
        <w:tc>
          <w:tcPr>
            <w:tcW w:type="dxa" w:w="3744"/>
          </w:tcPr>
          <w:p>
            <w:pPr>
              <w:spacing w:after="20" w:before="20"/>
            </w:pPr>
            <w:r>
              <w:rPr>
                <w:rFonts w:ascii="Calibri" w:hAnsi="Calibri"/>
                <w:b w:val="0"/>
                <w:sz w:val="17"/>
              </w:rPr>
            </w:r>
            <w:r>
              <w:rPr>
                <w:rFonts w:ascii="Calibri" w:hAnsi="Calibri"/>
                <w:b w:val="0"/>
                <w:sz w:val="17"/>
              </w:rPr>
              <w:t>Small Popcorn Holder</w:t>
            </w:r>
          </w:p>
        </w:tc>
        <w:tc>
          <w:tcPr>
            <w:tcW w:type="dxa" w:w="1368"/>
          </w:tcPr>
          <w:p>
            <w:pPr>
              <w:spacing w:after="20" w:before="20"/>
              <w:jc w:val="right"/>
            </w:pPr>
            <w:r>
              <w:rPr>
                <w:rFonts w:ascii="Calibri" w:hAnsi="Calibri"/>
                <w:b w:val="0"/>
                <w:sz w:val="17"/>
              </w:rPr>
            </w:r>
            <w:r>
              <w:rPr>
                <w:rFonts w:ascii="Calibri" w:hAnsi="Calibri"/>
                <w:b w:val="0"/>
                <w:sz w:val="17"/>
              </w:rPr>
              <w:t>£80,888</w:t>
            </w:r>
          </w:p>
        </w:tc>
        <w:tc>
          <w:tcPr>
            <w:tcW w:type="dxa" w:w="1080"/>
          </w:tcPr>
          <w:p>
            <w:pPr>
              <w:spacing w:after="20" w:before="20"/>
              <w:jc w:val="right"/>
            </w:pPr>
            <w:r>
              <w:rPr>
                <w:rFonts w:ascii="Calibri" w:hAnsi="Calibri"/>
                <w:b w:val="0"/>
                <w:sz w:val="17"/>
              </w:rPr>
            </w:r>
            <w:r>
              <w:rPr>
                <w:rFonts w:ascii="Calibri" w:hAnsi="Calibri"/>
                <w:b w:val="0"/>
                <w:sz w:val="17"/>
              </w:rPr>
              <w:t>89,860</w:t>
            </w:r>
          </w:p>
        </w:tc>
        <w:tc>
          <w:tcPr>
            <w:tcW w:type="dxa" w:w="1008"/>
          </w:tcPr>
          <w:p>
            <w:pPr>
              <w:spacing w:after="20" w:before="20"/>
              <w:jc w:val="right"/>
            </w:pPr>
            <w:r>
              <w:rPr>
                <w:rFonts w:ascii="Calibri" w:hAnsi="Calibri"/>
                <w:b w:val="0"/>
                <w:sz w:val="17"/>
              </w:rPr>
            </w:r>
            <w:r>
              <w:rPr>
                <w:rFonts w:ascii="Calibri" w:hAnsi="Calibri"/>
                <w:b w:val="0"/>
                <w:sz w:val="17"/>
              </w:rPr>
              <w:t>2,322</w:t>
            </w:r>
          </w:p>
        </w:tc>
        <w:tc>
          <w:tcPr>
            <w:tcW w:type="dxa" w:w="1440"/>
          </w:tcPr>
          <w:p>
            <w:pPr>
              <w:spacing w:after="20" w:before="20"/>
              <w:jc w:val="right"/>
            </w:pPr>
            <w:r>
              <w:rPr>
                <w:rFonts w:ascii="Calibri" w:hAnsi="Calibri"/>
                <w:b w:val="0"/>
                <w:sz w:val="17"/>
              </w:rPr>
            </w:r>
            <w:r>
              <w:rPr>
                <w:rFonts w:ascii="Calibri" w:hAnsi="Calibri"/>
                <w:b w:val="0"/>
                <w:sz w:val="17"/>
              </w:rPr>
              <w:t>0.40%</w:t>
            </w:r>
          </w:p>
        </w:tc>
      </w:tr>
    </w:tbl>
    <w:p/>
    <w:p>
      <w:r>
        <w:rPr>
          <w:b w:val="0"/>
          <w:i w:val="0"/>
        </w:rPr>
        <w:t xml:space="preserve">The best-selling line is </w:t>
      </w:r>
      <w:r>
        <w:rPr>
          <w:b/>
          <w:i w:val="0"/>
        </w:rPr>
        <w:t>Regency Cakestand 3 Tier at £344,069</w:t>
      </w:r>
      <w:r>
        <w:rPr>
          <w:b w:val="0"/>
          <w:i w:val="0"/>
        </w:rPr>
        <w:t xml:space="preserve">. The ten largest products together are 8.06% of merchandise revenue, which sounds small until it is compared with a uniform expectation: ten products out of 4,725 is 0.21% of the catalogue, so those ten are </w:t>
      </w:r>
      <w:r>
        <w:rPr>
          <w:b/>
          <w:i w:val="0"/>
        </w:rPr>
        <w:t>over-represented by 38.1x</w:t>
      </w:r>
      <w:r>
        <w:rPr>
          <w:b w:val="0"/>
          <w:i w:val="0"/>
        </w:rPr>
        <w:t>.</w:t>
      </w:r>
    </w:p>
    <w:p>
      <w:r>
        <w:rPr>
          <w:b w:val="0"/>
          <w:i w:val="0"/>
        </w:rPr>
        <w:t xml:space="preserve">Products are aggregated on </w:t>
      </w:r>
      <w:r>
        <w:rPr>
          <w:rFonts w:ascii="Consolas" w:hAnsi="Consolas"/>
          <w:b w:val="0"/>
          <w:i w:val="0"/>
          <w:sz w:val="19"/>
        </w:rPr>
        <w:t>StockCode</w:t>
      </w:r>
      <w:r>
        <w:rPr>
          <w:b w:val="0"/>
          <w:i w:val="0"/>
        </w:rPr>
        <w:t xml:space="preserve">, not on </w:t>
      </w:r>
      <w:r>
        <w:rPr>
          <w:rFonts w:ascii="Consolas" w:hAnsi="Consolas"/>
          <w:b w:val="0"/>
          <w:i w:val="0"/>
          <w:sz w:val="19"/>
        </w:rPr>
        <w:t>Description</w:t>
      </w:r>
      <w:r>
        <w:rPr>
          <w:b w:val="0"/>
          <w:i w:val="0"/>
        </w:rPr>
        <w:t>. The 4,725 merchandise codes carry 5,336 distinct descriptions, so the same physical product is spelled more than one way; grouping on the text splits one product's revenue across its spellings and, in this file, moves a genuine top-three line down to fourth place. Every rank in this section and in section 7.7 is therefore a rank among 4,725 codes.</w:t>
      </w:r>
    </w:p>
    <w:p>
      <w:r>
        <w:rPr>
          <w:b w:val="0"/>
          <w:i w:val="0"/>
        </w:rPr>
        <w:t>Revenue and volume are also not the same ranking. Only 6 of the top ten products by revenue also appear in the top ten by units sold - the rest are either cheap products sold in enormous quantity or expensive products sold steadily. A buying team optimising on units and a finance team optimising on revenue would pick different winners.</w:t>
      </w:r>
    </w:p>
    <w:p>
      <w:pPr>
        <w:pStyle w:val="Heading2"/>
      </w:pPr>
      <w:r>
        <w:t>7.5  Geography</w:t>
      </w:r>
    </w:p>
    <w:p>
      <w:pPr>
        <w:spacing w:after="40"/>
        <w:jc w:val="center"/>
      </w:pPr>
      <w:r>
        <w:drawing>
          <wp:inline xmlns:a="http://schemas.openxmlformats.org/drawingml/2006/main" xmlns:pic="http://schemas.openxmlformats.org/drawingml/2006/picture">
            <wp:extent cx="5623560" cy="2134334"/>
            <wp:docPr id="5" name="Picture 5"/>
            <wp:cNvGraphicFramePr>
              <a:graphicFrameLocks noChangeAspect="1"/>
            </wp:cNvGraphicFramePr>
            <a:graphic>
              <a:graphicData uri="http://schemas.openxmlformats.org/drawingml/2006/picture">
                <pic:pic>
                  <pic:nvPicPr>
                    <pic:cNvPr id="0" name="05_geography.png"/>
                    <pic:cNvPicPr/>
                  </pic:nvPicPr>
                  <pic:blipFill>
                    <a:blip r:embed="rId14"/>
                    <a:stretch>
                      <a:fillRect/>
                    </a:stretch>
                  </pic:blipFill>
                  <pic:spPr>
                    <a:xfrm>
                      <a:off x="0" y="0"/>
                      <a:ext cx="5623560" cy="2134334"/>
                    </a:xfrm>
                    <a:prstGeom prst="rect"/>
                  </pic:spPr>
                </pic:pic>
              </a:graphicData>
            </a:graphic>
          </wp:inline>
        </w:drawing>
      </w:r>
    </w:p>
    <w:p>
      <w:pPr>
        <w:spacing w:before="40" w:after="240"/>
        <w:jc w:val="center"/>
      </w:pPr>
      <w:r>
        <w:rPr>
          <w:b w:val="0"/>
          <w:i/>
          <w:color w:val="77776F"/>
          <w:sz w:val="17"/>
        </w:rPr>
        <w:t>Figure 5. Revenue by country, with the UK share called out.</w:t>
      </w:r>
    </w:p>
    <w:p>
      <w:pPr>
        <w:spacing w:before="40" w:after="40"/>
        <w:jc w:val="left"/>
      </w:pPr>
      <w:r>
        <w:rPr>
          <w:b w:val="0"/>
          <w:i/>
          <w:color w:val="77776F"/>
          <w:sz w:val="17"/>
        </w:rPr>
        <w:t>Table 8. The twelve largest markets by revenue.</w:t>
      </w:r>
    </w:p>
    <w:tbl>
      <w:tblPr>
        <w:tblStyle w:val="LightGrid-Accent1"/>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2160"/>
          </w:tcPr>
          <w:p>
            <w:pPr>
              <w:spacing w:after="20" w:before="20"/>
            </w:pPr>
            <w:r>
              <w:rPr>
                <w:rFonts w:ascii="Calibri" w:hAnsi="Calibri"/>
                <w:b/>
                <w:sz w:val="17"/>
              </w:rPr>
            </w:r>
            <w:r>
              <w:rPr>
                <w:rFonts w:ascii="Calibri" w:hAnsi="Calibri"/>
                <w:b/>
                <w:sz w:val="17"/>
              </w:rPr>
              <w:t>Country</w:t>
            </w:r>
          </w:p>
        </w:tc>
        <w:tc>
          <w:tcPr>
            <w:tcW w:type="dxa" w:w="1512"/>
          </w:tcPr>
          <w:p>
            <w:pPr>
              <w:spacing w:after="20" w:before="20"/>
              <w:jc w:val="right"/>
            </w:pPr>
            <w:r>
              <w:rPr>
                <w:rFonts w:ascii="Calibri" w:hAnsi="Calibri"/>
                <w:b/>
                <w:sz w:val="17"/>
              </w:rPr>
            </w:r>
            <w:r>
              <w:rPr>
                <w:rFonts w:ascii="Calibri" w:hAnsi="Calibri"/>
                <w:b/>
                <w:sz w:val="17"/>
              </w:rPr>
              <w:t>Revenue</w:t>
            </w:r>
          </w:p>
        </w:tc>
        <w:tc>
          <w:tcPr>
            <w:tcW w:type="dxa" w:w="1152"/>
          </w:tcPr>
          <w:p>
            <w:pPr>
              <w:spacing w:after="20" w:before="20"/>
              <w:jc w:val="right"/>
            </w:pPr>
            <w:r>
              <w:rPr>
                <w:rFonts w:ascii="Calibri" w:hAnsi="Calibri"/>
                <w:b/>
                <w:sz w:val="17"/>
              </w:rPr>
            </w:r>
            <w:r>
              <w:rPr>
                <w:rFonts w:ascii="Calibri" w:hAnsi="Calibri"/>
                <w:b/>
                <w:sz w:val="17"/>
              </w:rPr>
              <w:t>Orders</w:t>
            </w:r>
          </w:p>
        </w:tc>
        <w:tc>
          <w:tcPr>
            <w:tcW w:type="dxa" w:w="1296"/>
          </w:tcPr>
          <w:p>
            <w:pPr>
              <w:spacing w:after="20" w:before="20"/>
              <w:jc w:val="right"/>
            </w:pPr>
            <w:r>
              <w:rPr>
                <w:rFonts w:ascii="Calibri" w:hAnsi="Calibri"/>
                <w:b/>
                <w:sz w:val="17"/>
              </w:rPr>
            </w:r>
            <w:r>
              <w:rPr>
                <w:rFonts w:ascii="Calibri" w:hAnsi="Calibri"/>
                <w:b/>
                <w:sz w:val="17"/>
              </w:rPr>
              <w:t>Customers</w:t>
            </w:r>
          </w:p>
        </w:tc>
        <w:tc>
          <w:tcPr>
            <w:tcW w:type="dxa" w:w="1224"/>
          </w:tcPr>
          <w:p>
            <w:pPr>
              <w:spacing w:after="20" w:before="20"/>
              <w:jc w:val="right"/>
            </w:pPr>
            <w:r>
              <w:rPr>
                <w:rFonts w:ascii="Calibri" w:hAnsi="Calibri"/>
                <w:b/>
                <w:sz w:val="17"/>
              </w:rPr>
            </w:r>
            <w:r>
              <w:rPr>
                <w:rFonts w:ascii="Calibri" w:hAnsi="Calibri"/>
                <w:b/>
                <w:sz w:val="17"/>
              </w:rPr>
              <w:t>AOV</w:t>
            </w:r>
          </w:p>
        </w:tc>
        <w:tc>
          <w:tcPr>
            <w:tcW w:type="dxa" w:w="1440"/>
          </w:tcPr>
          <w:p>
            <w:pPr>
              <w:spacing w:after="20" w:before="20"/>
              <w:jc w:val="right"/>
            </w:pPr>
            <w:r>
              <w:rPr>
                <w:rFonts w:ascii="Calibri" w:hAnsi="Calibri"/>
                <w:b/>
                <w:sz w:val="17"/>
              </w:rPr>
            </w:r>
            <w:r>
              <w:rPr>
                <w:rFonts w:ascii="Calibri" w:hAnsi="Calibri"/>
                <w:b/>
                <w:sz w:val="17"/>
              </w:rPr>
              <w:t>% of revenue</w:t>
            </w:r>
          </w:p>
        </w:tc>
      </w:tr>
      <w:tr>
        <w:tc>
          <w:tcPr>
            <w:tcW w:type="dxa" w:w="2160"/>
          </w:tcPr>
          <w:p>
            <w:pPr>
              <w:spacing w:after="20" w:before="20"/>
            </w:pPr>
            <w:r>
              <w:rPr>
                <w:rFonts w:ascii="Calibri" w:hAnsi="Calibri"/>
                <w:b w:val="0"/>
                <w:sz w:val="17"/>
              </w:rPr>
            </w:r>
            <w:r>
              <w:rPr>
                <w:rFonts w:ascii="Calibri" w:hAnsi="Calibri"/>
                <w:b w:val="0"/>
                <w:sz w:val="17"/>
              </w:rPr>
              <w:t>United Kingdom</w:t>
            </w:r>
          </w:p>
        </w:tc>
        <w:tc>
          <w:tcPr>
            <w:tcW w:type="dxa" w:w="1512"/>
          </w:tcPr>
          <w:p>
            <w:pPr>
              <w:spacing w:after="20" w:before="20"/>
              <w:jc w:val="right"/>
            </w:pPr>
            <w:r>
              <w:rPr>
                <w:rFonts w:ascii="Calibri" w:hAnsi="Calibri"/>
                <w:b w:val="0"/>
                <w:sz w:val="17"/>
              </w:rPr>
            </w:r>
            <w:r>
              <w:rPr>
                <w:rFonts w:ascii="Calibri" w:hAnsi="Calibri"/>
                <w:b w:val="0"/>
                <w:sz w:val="17"/>
              </w:rPr>
              <w:t>£17,514,781</w:t>
            </w:r>
          </w:p>
        </w:tc>
        <w:tc>
          <w:tcPr>
            <w:tcW w:type="dxa" w:w="1152"/>
          </w:tcPr>
          <w:p>
            <w:pPr>
              <w:spacing w:after="20" w:before="20"/>
              <w:jc w:val="right"/>
            </w:pPr>
            <w:r>
              <w:rPr>
                <w:rFonts w:ascii="Calibri" w:hAnsi="Calibri"/>
                <w:b w:val="0"/>
                <w:sz w:val="17"/>
              </w:rPr>
            </w:r>
            <w:r>
              <w:rPr>
                <w:rFonts w:ascii="Calibri" w:hAnsi="Calibri"/>
                <w:b w:val="0"/>
                <w:sz w:val="17"/>
              </w:rPr>
              <w:t>36,242</w:t>
            </w:r>
          </w:p>
        </w:tc>
        <w:tc>
          <w:tcPr>
            <w:tcW w:type="dxa" w:w="1296"/>
          </w:tcPr>
          <w:p>
            <w:pPr>
              <w:spacing w:after="20" w:before="20"/>
              <w:jc w:val="right"/>
            </w:pPr>
            <w:r>
              <w:rPr>
                <w:rFonts w:ascii="Calibri" w:hAnsi="Calibri"/>
                <w:b w:val="0"/>
                <w:sz w:val="17"/>
              </w:rPr>
            </w:r>
            <w:r>
              <w:rPr>
                <w:rFonts w:ascii="Calibri" w:hAnsi="Calibri"/>
                <w:b w:val="0"/>
                <w:sz w:val="17"/>
              </w:rPr>
              <w:t>5,334</w:t>
            </w:r>
          </w:p>
        </w:tc>
        <w:tc>
          <w:tcPr>
            <w:tcW w:type="dxa" w:w="1224"/>
          </w:tcPr>
          <w:p>
            <w:pPr>
              <w:spacing w:after="20" w:before="20"/>
              <w:jc w:val="right"/>
            </w:pPr>
            <w:r>
              <w:rPr>
                <w:rFonts w:ascii="Calibri" w:hAnsi="Calibri"/>
                <w:b w:val="0"/>
                <w:sz w:val="17"/>
              </w:rPr>
            </w:r>
            <w:r>
              <w:rPr>
                <w:rFonts w:ascii="Calibri" w:hAnsi="Calibri"/>
                <w:b w:val="0"/>
                <w:sz w:val="17"/>
              </w:rPr>
              <w:t>£483</w:t>
            </w:r>
          </w:p>
        </w:tc>
        <w:tc>
          <w:tcPr>
            <w:tcW w:type="dxa" w:w="1440"/>
          </w:tcPr>
          <w:p>
            <w:pPr>
              <w:spacing w:after="20" w:before="20"/>
              <w:jc w:val="right"/>
            </w:pPr>
            <w:r>
              <w:rPr>
                <w:rFonts w:ascii="Calibri" w:hAnsi="Calibri"/>
                <w:b w:val="0"/>
                <w:sz w:val="17"/>
              </w:rPr>
            </w:r>
            <w:r>
              <w:rPr>
                <w:rFonts w:ascii="Calibri" w:hAnsi="Calibri"/>
                <w:b w:val="0"/>
                <w:sz w:val="17"/>
              </w:rPr>
              <w:t>85.36%</w:t>
            </w:r>
          </w:p>
        </w:tc>
      </w:tr>
      <w:tr>
        <w:tc>
          <w:tcPr>
            <w:tcW w:type="dxa" w:w="2160"/>
          </w:tcPr>
          <w:p>
            <w:pPr>
              <w:spacing w:after="20" w:before="20"/>
            </w:pPr>
            <w:r>
              <w:rPr>
                <w:rFonts w:ascii="Calibri" w:hAnsi="Calibri"/>
                <w:b w:val="0"/>
                <w:sz w:val="17"/>
              </w:rPr>
            </w:r>
            <w:r>
              <w:rPr>
                <w:rFonts w:ascii="Calibri" w:hAnsi="Calibri"/>
                <w:b w:val="0"/>
                <w:sz w:val="17"/>
              </w:rPr>
              <w:t>EIRE</w:t>
            </w:r>
          </w:p>
        </w:tc>
        <w:tc>
          <w:tcPr>
            <w:tcW w:type="dxa" w:w="1512"/>
          </w:tcPr>
          <w:p>
            <w:pPr>
              <w:spacing w:after="20" w:before="20"/>
              <w:jc w:val="right"/>
            </w:pPr>
            <w:r>
              <w:rPr>
                <w:rFonts w:ascii="Calibri" w:hAnsi="Calibri"/>
                <w:b w:val="0"/>
                <w:sz w:val="17"/>
              </w:rPr>
            </w:r>
            <w:r>
              <w:rPr>
                <w:rFonts w:ascii="Calibri" w:hAnsi="Calibri"/>
                <w:b w:val="0"/>
                <w:sz w:val="17"/>
              </w:rPr>
              <w:t>£638,552</w:t>
            </w:r>
          </w:p>
        </w:tc>
        <w:tc>
          <w:tcPr>
            <w:tcW w:type="dxa" w:w="1152"/>
          </w:tcPr>
          <w:p>
            <w:pPr>
              <w:spacing w:after="20" w:before="20"/>
              <w:jc w:val="right"/>
            </w:pPr>
            <w:r>
              <w:rPr>
                <w:rFonts w:ascii="Calibri" w:hAnsi="Calibri"/>
                <w:b w:val="0"/>
                <w:sz w:val="17"/>
              </w:rPr>
            </w:r>
            <w:r>
              <w:rPr>
                <w:rFonts w:ascii="Calibri" w:hAnsi="Calibri"/>
                <w:b w:val="0"/>
                <w:sz w:val="17"/>
              </w:rPr>
              <w:t>585</w:t>
            </w:r>
          </w:p>
        </w:tc>
        <w:tc>
          <w:tcPr>
            <w:tcW w:type="dxa" w:w="1296"/>
          </w:tcPr>
          <w:p>
            <w:pPr>
              <w:spacing w:after="20" w:before="20"/>
              <w:jc w:val="right"/>
            </w:pPr>
            <w:r>
              <w:rPr>
                <w:rFonts w:ascii="Calibri" w:hAnsi="Calibri"/>
                <w:b w:val="0"/>
                <w:sz w:val="17"/>
              </w:rPr>
            </w:r>
            <w:r>
              <w:rPr>
                <w:rFonts w:ascii="Calibri" w:hAnsi="Calibri"/>
                <w:b w:val="0"/>
                <w:sz w:val="17"/>
              </w:rPr>
              <w:t>3</w:t>
            </w:r>
          </w:p>
        </w:tc>
        <w:tc>
          <w:tcPr>
            <w:tcW w:type="dxa" w:w="1224"/>
          </w:tcPr>
          <w:p>
            <w:pPr>
              <w:spacing w:after="20" w:before="20"/>
              <w:jc w:val="right"/>
            </w:pPr>
            <w:r>
              <w:rPr>
                <w:rFonts w:ascii="Calibri" w:hAnsi="Calibri"/>
                <w:b w:val="0"/>
                <w:sz w:val="17"/>
              </w:rPr>
            </w:r>
            <w:r>
              <w:rPr>
                <w:rFonts w:ascii="Calibri" w:hAnsi="Calibri"/>
                <w:b w:val="0"/>
                <w:sz w:val="17"/>
              </w:rPr>
              <w:t>£1,092</w:t>
            </w:r>
          </w:p>
        </w:tc>
        <w:tc>
          <w:tcPr>
            <w:tcW w:type="dxa" w:w="1440"/>
          </w:tcPr>
          <w:p>
            <w:pPr>
              <w:spacing w:after="20" w:before="20"/>
              <w:jc w:val="right"/>
            </w:pPr>
            <w:r>
              <w:rPr>
                <w:rFonts w:ascii="Calibri" w:hAnsi="Calibri"/>
                <w:b w:val="0"/>
                <w:sz w:val="17"/>
              </w:rPr>
            </w:r>
            <w:r>
              <w:rPr>
                <w:rFonts w:ascii="Calibri" w:hAnsi="Calibri"/>
                <w:b w:val="0"/>
                <w:sz w:val="17"/>
              </w:rPr>
              <w:t>3.11%</w:t>
            </w:r>
          </w:p>
        </w:tc>
      </w:tr>
      <w:tr>
        <w:tc>
          <w:tcPr>
            <w:tcW w:type="dxa" w:w="2160"/>
          </w:tcPr>
          <w:p>
            <w:pPr>
              <w:spacing w:after="20" w:before="20"/>
            </w:pPr>
            <w:r>
              <w:rPr>
                <w:rFonts w:ascii="Calibri" w:hAnsi="Calibri"/>
                <w:b w:val="0"/>
                <w:sz w:val="17"/>
              </w:rPr>
            </w:r>
            <w:r>
              <w:rPr>
                <w:rFonts w:ascii="Calibri" w:hAnsi="Calibri"/>
                <w:b w:val="0"/>
                <w:sz w:val="17"/>
              </w:rPr>
              <w:t>Netherlands</w:t>
            </w:r>
          </w:p>
        </w:tc>
        <w:tc>
          <w:tcPr>
            <w:tcW w:type="dxa" w:w="1512"/>
          </w:tcPr>
          <w:p>
            <w:pPr>
              <w:spacing w:after="20" w:before="20"/>
              <w:jc w:val="right"/>
            </w:pPr>
            <w:r>
              <w:rPr>
                <w:rFonts w:ascii="Calibri" w:hAnsi="Calibri"/>
                <w:b w:val="0"/>
                <w:sz w:val="17"/>
              </w:rPr>
            </w:r>
            <w:r>
              <w:rPr>
                <w:rFonts w:ascii="Calibri" w:hAnsi="Calibri"/>
                <w:b w:val="0"/>
                <w:sz w:val="17"/>
              </w:rPr>
              <w:t>£554,034</w:t>
            </w:r>
          </w:p>
        </w:tc>
        <w:tc>
          <w:tcPr>
            <w:tcW w:type="dxa" w:w="1152"/>
          </w:tcPr>
          <w:p>
            <w:pPr>
              <w:spacing w:after="20" w:before="20"/>
              <w:jc w:val="right"/>
            </w:pPr>
            <w:r>
              <w:rPr>
                <w:rFonts w:ascii="Calibri" w:hAnsi="Calibri"/>
                <w:b w:val="0"/>
                <w:sz w:val="17"/>
              </w:rPr>
            </w:r>
            <w:r>
              <w:rPr>
                <w:rFonts w:ascii="Calibri" w:hAnsi="Calibri"/>
                <w:b w:val="0"/>
                <w:sz w:val="17"/>
              </w:rPr>
              <w:t>223</w:t>
            </w:r>
          </w:p>
        </w:tc>
        <w:tc>
          <w:tcPr>
            <w:tcW w:type="dxa" w:w="1296"/>
          </w:tcPr>
          <w:p>
            <w:pPr>
              <w:spacing w:after="20" w:before="20"/>
              <w:jc w:val="right"/>
            </w:pPr>
            <w:r>
              <w:rPr>
                <w:rFonts w:ascii="Calibri" w:hAnsi="Calibri"/>
                <w:b w:val="0"/>
                <w:sz w:val="17"/>
              </w:rPr>
            </w:r>
            <w:r>
              <w:rPr>
                <w:rFonts w:ascii="Calibri" w:hAnsi="Calibri"/>
                <w:b w:val="0"/>
                <w:sz w:val="17"/>
              </w:rPr>
              <w:t>22</w:t>
            </w:r>
          </w:p>
        </w:tc>
        <w:tc>
          <w:tcPr>
            <w:tcW w:type="dxa" w:w="1224"/>
          </w:tcPr>
          <w:p>
            <w:pPr>
              <w:spacing w:after="20" w:before="20"/>
              <w:jc w:val="right"/>
            </w:pPr>
            <w:r>
              <w:rPr>
                <w:rFonts w:ascii="Calibri" w:hAnsi="Calibri"/>
                <w:b w:val="0"/>
                <w:sz w:val="17"/>
              </w:rPr>
            </w:r>
            <w:r>
              <w:rPr>
                <w:rFonts w:ascii="Calibri" w:hAnsi="Calibri"/>
                <w:b w:val="0"/>
                <w:sz w:val="17"/>
              </w:rPr>
              <w:t>£2,484</w:t>
            </w:r>
          </w:p>
        </w:tc>
        <w:tc>
          <w:tcPr>
            <w:tcW w:type="dxa" w:w="1440"/>
          </w:tcPr>
          <w:p>
            <w:pPr>
              <w:spacing w:after="20" w:before="20"/>
              <w:jc w:val="right"/>
            </w:pPr>
            <w:r>
              <w:rPr>
                <w:rFonts w:ascii="Calibri" w:hAnsi="Calibri"/>
                <w:b w:val="0"/>
                <w:sz w:val="17"/>
              </w:rPr>
            </w:r>
            <w:r>
              <w:rPr>
                <w:rFonts w:ascii="Calibri" w:hAnsi="Calibri"/>
                <w:b w:val="0"/>
                <w:sz w:val="17"/>
              </w:rPr>
              <w:t>2.70%</w:t>
            </w:r>
          </w:p>
        </w:tc>
      </w:tr>
      <w:tr>
        <w:tc>
          <w:tcPr>
            <w:tcW w:type="dxa" w:w="2160"/>
          </w:tcPr>
          <w:p>
            <w:pPr>
              <w:spacing w:after="20" w:before="20"/>
            </w:pPr>
            <w:r>
              <w:rPr>
                <w:rFonts w:ascii="Calibri" w:hAnsi="Calibri"/>
                <w:b w:val="0"/>
                <w:sz w:val="17"/>
              </w:rPr>
            </w:r>
            <w:r>
              <w:rPr>
                <w:rFonts w:ascii="Calibri" w:hAnsi="Calibri"/>
                <w:b w:val="0"/>
                <w:sz w:val="17"/>
              </w:rPr>
              <w:t>Germany</w:t>
            </w:r>
          </w:p>
        </w:tc>
        <w:tc>
          <w:tcPr>
            <w:tcW w:type="dxa" w:w="1512"/>
          </w:tcPr>
          <w:p>
            <w:pPr>
              <w:spacing w:after="20" w:before="20"/>
              <w:jc w:val="right"/>
            </w:pPr>
            <w:r>
              <w:rPr>
                <w:rFonts w:ascii="Calibri" w:hAnsi="Calibri"/>
                <w:b w:val="0"/>
                <w:sz w:val="17"/>
              </w:rPr>
            </w:r>
            <w:r>
              <w:rPr>
                <w:rFonts w:ascii="Calibri" w:hAnsi="Calibri"/>
                <w:b w:val="0"/>
                <w:sz w:val="17"/>
              </w:rPr>
              <w:t>£427,502</w:t>
            </w:r>
          </w:p>
        </w:tc>
        <w:tc>
          <w:tcPr>
            <w:tcW w:type="dxa" w:w="1152"/>
          </w:tcPr>
          <w:p>
            <w:pPr>
              <w:spacing w:after="20" w:before="20"/>
              <w:jc w:val="right"/>
            </w:pPr>
            <w:r>
              <w:rPr>
                <w:rFonts w:ascii="Calibri" w:hAnsi="Calibri"/>
                <w:b w:val="0"/>
                <w:sz w:val="17"/>
              </w:rPr>
            </w:r>
            <w:r>
              <w:rPr>
                <w:rFonts w:ascii="Calibri" w:hAnsi="Calibri"/>
                <w:b w:val="0"/>
                <w:sz w:val="17"/>
              </w:rPr>
              <w:t>777</w:t>
            </w:r>
          </w:p>
        </w:tc>
        <w:tc>
          <w:tcPr>
            <w:tcW w:type="dxa" w:w="1296"/>
          </w:tcPr>
          <w:p>
            <w:pPr>
              <w:spacing w:after="20" w:before="20"/>
              <w:jc w:val="right"/>
            </w:pPr>
            <w:r>
              <w:rPr>
                <w:rFonts w:ascii="Calibri" w:hAnsi="Calibri"/>
                <w:b w:val="0"/>
                <w:sz w:val="17"/>
              </w:rPr>
            </w:r>
            <w:r>
              <w:rPr>
                <w:rFonts w:ascii="Calibri" w:hAnsi="Calibri"/>
                <w:b w:val="0"/>
                <w:sz w:val="17"/>
              </w:rPr>
              <w:t>107</w:t>
            </w:r>
          </w:p>
        </w:tc>
        <w:tc>
          <w:tcPr>
            <w:tcW w:type="dxa" w:w="1224"/>
          </w:tcPr>
          <w:p>
            <w:pPr>
              <w:spacing w:after="20" w:before="20"/>
              <w:jc w:val="right"/>
            </w:pPr>
            <w:r>
              <w:rPr>
                <w:rFonts w:ascii="Calibri" w:hAnsi="Calibri"/>
                <w:b w:val="0"/>
                <w:sz w:val="17"/>
              </w:rPr>
            </w:r>
            <w:r>
              <w:rPr>
                <w:rFonts w:ascii="Calibri" w:hAnsi="Calibri"/>
                <w:b w:val="0"/>
                <w:sz w:val="17"/>
              </w:rPr>
              <w:t>£550</w:t>
            </w:r>
          </w:p>
        </w:tc>
        <w:tc>
          <w:tcPr>
            <w:tcW w:type="dxa" w:w="1440"/>
          </w:tcPr>
          <w:p>
            <w:pPr>
              <w:spacing w:after="20" w:before="20"/>
              <w:jc w:val="right"/>
            </w:pPr>
            <w:r>
              <w:rPr>
                <w:rFonts w:ascii="Calibri" w:hAnsi="Calibri"/>
                <w:b w:val="0"/>
                <w:sz w:val="17"/>
              </w:rPr>
            </w:r>
            <w:r>
              <w:rPr>
                <w:rFonts w:ascii="Calibri" w:hAnsi="Calibri"/>
                <w:b w:val="0"/>
                <w:sz w:val="17"/>
              </w:rPr>
              <w:t>2.08%</w:t>
            </w:r>
          </w:p>
        </w:tc>
      </w:tr>
      <w:tr>
        <w:tc>
          <w:tcPr>
            <w:tcW w:type="dxa" w:w="2160"/>
          </w:tcPr>
          <w:p>
            <w:pPr>
              <w:spacing w:after="20" w:before="20"/>
            </w:pPr>
            <w:r>
              <w:rPr>
                <w:rFonts w:ascii="Calibri" w:hAnsi="Calibri"/>
                <w:b w:val="0"/>
                <w:sz w:val="17"/>
              </w:rPr>
            </w:r>
            <w:r>
              <w:rPr>
                <w:rFonts w:ascii="Calibri" w:hAnsi="Calibri"/>
                <w:b w:val="0"/>
                <w:sz w:val="17"/>
              </w:rPr>
              <w:t>France</w:t>
            </w:r>
          </w:p>
        </w:tc>
        <w:tc>
          <w:tcPr>
            <w:tcW w:type="dxa" w:w="1512"/>
          </w:tcPr>
          <w:p>
            <w:pPr>
              <w:spacing w:after="20" w:before="20"/>
              <w:jc w:val="right"/>
            </w:pPr>
            <w:r>
              <w:rPr>
                <w:rFonts w:ascii="Calibri" w:hAnsi="Calibri"/>
                <w:b w:val="0"/>
                <w:sz w:val="17"/>
              </w:rPr>
            </w:r>
            <w:r>
              <w:rPr>
                <w:rFonts w:ascii="Calibri" w:hAnsi="Calibri"/>
                <w:b w:val="0"/>
                <w:sz w:val="17"/>
              </w:rPr>
              <w:t>£342,177</w:t>
            </w:r>
          </w:p>
        </w:tc>
        <w:tc>
          <w:tcPr>
            <w:tcW w:type="dxa" w:w="1152"/>
          </w:tcPr>
          <w:p>
            <w:pPr>
              <w:spacing w:after="20" w:before="20"/>
              <w:jc w:val="right"/>
            </w:pPr>
            <w:r>
              <w:rPr>
                <w:rFonts w:ascii="Calibri" w:hAnsi="Calibri"/>
                <w:b w:val="0"/>
                <w:sz w:val="17"/>
              </w:rPr>
            </w:r>
            <w:r>
              <w:rPr>
                <w:rFonts w:ascii="Calibri" w:hAnsi="Calibri"/>
                <w:b w:val="0"/>
                <w:sz w:val="17"/>
              </w:rPr>
              <w:t>614</w:t>
            </w:r>
          </w:p>
        </w:tc>
        <w:tc>
          <w:tcPr>
            <w:tcW w:type="dxa" w:w="1296"/>
          </w:tcPr>
          <w:p>
            <w:pPr>
              <w:spacing w:after="20" w:before="20"/>
              <w:jc w:val="right"/>
            </w:pPr>
            <w:r>
              <w:rPr>
                <w:rFonts w:ascii="Calibri" w:hAnsi="Calibri"/>
                <w:b w:val="0"/>
                <w:sz w:val="17"/>
              </w:rPr>
            </w:r>
            <w:r>
              <w:rPr>
                <w:rFonts w:ascii="Calibri" w:hAnsi="Calibri"/>
                <w:b w:val="0"/>
                <w:sz w:val="17"/>
              </w:rPr>
              <w:t>94</w:t>
            </w:r>
          </w:p>
        </w:tc>
        <w:tc>
          <w:tcPr>
            <w:tcW w:type="dxa" w:w="1224"/>
          </w:tcPr>
          <w:p>
            <w:pPr>
              <w:spacing w:after="20" w:before="20"/>
              <w:jc w:val="right"/>
            </w:pPr>
            <w:r>
              <w:rPr>
                <w:rFonts w:ascii="Calibri" w:hAnsi="Calibri"/>
                <w:b w:val="0"/>
                <w:sz w:val="17"/>
              </w:rPr>
            </w:r>
            <w:r>
              <w:rPr>
                <w:rFonts w:ascii="Calibri" w:hAnsi="Calibri"/>
                <w:b w:val="0"/>
                <w:sz w:val="17"/>
              </w:rPr>
              <w:t>£557</w:t>
            </w:r>
          </w:p>
        </w:tc>
        <w:tc>
          <w:tcPr>
            <w:tcW w:type="dxa" w:w="1440"/>
          </w:tcPr>
          <w:p>
            <w:pPr>
              <w:spacing w:after="20" w:before="20"/>
              <w:jc w:val="right"/>
            </w:pPr>
            <w:r>
              <w:rPr>
                <w:rFonts w:ascii="Calibri" w:hAnsi="Calibri"/>
                <w:b w:val="0"/>
                <w:sz w:val="17"/>
              </w:rPr>
            </w:r>
            <w:r>
              <w:rPr>
                <w:rFonts w:ascii="Calibri" w:hAnsi="Calibri"/>
                <w:b w:val="0"/>
                <w:sz w:val="17"/>
              </w:rPr>
              <w:t>1.67%</w:t>
            </w:r>
          </w:p>
        </w:tc>
      </w:tr>
      <w:tr>
        <w:tc>
          <w:tcPr>
            <w:tcW w:type="dxa" w:w="2160"/>
          </w:tcPr>
          <w:p>
            <w:pPr>
              <w:spacing w:after="20" w:before="20"/>
            </w:pPr>
            <w:r>
              <w:rPr>
                <w:rFonts w:ascii="Calibri" w:hAnsi="Calibri"/>
                <w:b w:val="0"/>
                <w:sz w:val="17"/>
              </w:rPr>
            </w:r>
            <w:r>
              <w:rPr>
                <w:rFonts w:ascii="Calibri" w:hAnsi="Calibri"/>
                <w:b w:val="0"/>
                <w:sz w:val="17"/>
              </w:rPr>
              <w:t>Australia</w:t>
            </w:r>
          </w:p>
        </w:tc>
        <w:tc>
          <w:tcPr>
            <w:tcW w:type="dxa" w:w="1512"/>
          </w:tcPr>
          <w:p>
            <w:pPr>
              <w:spacing w:after="20" w:before="20"/>
              <w:jc w:val="right"/>
            </w:pPr>
            <w:r>
              <w:rPr>
                <w:rFonts w:ascii="Calibri" w:hAnsi="Calibri"/>
                <w:b w:val="0"/>
                <w:sz w:val="17"/>
              </w:rPr>
            </w:r>
            <w:r>
              <w:rPr>
                <w:rFonts w:ascii="Calibri" w:hAnsi="Calibri"/>
                <w:b w:val="0"/>
                <w:sz w:val="17"/>
              </w:rPr>
              <w:t>£168,767</w:t>
            </w:r>
          </w:p>
        </w:tc>
        <w:tc>
          <w:tcPr>
            <w:tcW w:type="dxa" w:w="1152"/>
          </w:tcPr>
          <w:p>
            <w:pPr>
              <w:spacing w:after="20" w:before="20"/>
              <w:jc w:val="right"/>
            </w:pPr>
            <w:r>
              <w:rPr>
                <w:rFonts w:ascii="Calibri" w:hAnsi="Calibri"/>
                <w:b w:val="0"/>
                <w:sz w:val="17"/>
              </w:rPr>
            </w:r>
            <w:r>
              <w:rPr>
                <w:rFonts w:ascii="Calibri" w:hAnsi="Calibri"/>
                <w:b w:val="0"/>
                <w:sz w:val="17"/>
              </w:rPr>
              <w:t>90</w:t>
            </w:r>
          </w:p>
        </w:tc>
        <w:tc>
          <w:tcPr>
            <w:tcW w:type="dxa" w:w="1296"/>
          </w:tcPr>
          <w:p>
            <w:pPr>
              <w:spacing w:after="20" w:before="20"/>
              <w:jc w:val="right"/>
            </w:pPr>
            <w:r>
              <w:rPr>
                <w:rFonts w:ascii="Calibri" w:hAnsi="Calibri"/>
                <w:b w:val="0"/>
                <w:sz w:val="17"/>
              </w:rPr>
            </w:r>
            <w:r>
              <w:rPr>
                <w:rFonts w:ascii="Calibri" w:hAnsi="Calibri"/>
                <w:b w:val="0"/>
                <w:sz w:val="17"/>
              </w:rPr>
              <w:t>15</w:t>
            </w:r>
          </w:p>
        </w:tc>
        <w:tc>
          <w:tcPr>
            <w:tcW w:type="dxa" w:w="1224"/>
          </w:tcPr>
          <w:p>
            <w:pPr>
              <w:spacing w:after="20" w:before="20"/>
              <w:jc w:val="right"/>
            </w:pPr>
            <w:r>
              <w:rPr>
                <w:rFonts w:ascii="Calibri" w:hAnsi="Calibri"/>
                <w:b w:val="0"/>
                <w:sz w:val="17"/>
              </w:rPr>
            </w:r>
            <w:r>
              <w:rPr>
                <w:rFonts w:ascii="Calibri" w:hAnsi="Calibri"/>
                <w:b w:val="0"/>
                <w:sz w:val="17"/>
              </w:rPr>
              <w:t>£1,875</w:t>
            </w:r>
          </w:p>
        </w:tc>
        <w:tc>
          <w:tcPr>
            <w:tcW w:type="dxa" w:w="1440"/>
          </w:tcPr>
          <w:p>
            <w:pPr>
              <w:spacing w:after="20" w:before="20"/>
              <w:jc w:val="right"/>
            </w:pPr>
            <w:r>
              <w:rPr>
                <w:rFonts w:ascii="Calibri" w:hAnsi="Calibri"/>
                <w:b w:val="0"/>
                <w:sz w:val="17"/>
              </w:rPr>
            </w:r>
            <w:r>
              <w:rPr>
                <w:rFonts w:ascii="Calibri" w:hAnsi="Calibri"/>
                <w:b w:val="0"/>
                <w:sz w:val="17"/>
              </w:rPr>
              <w:t>0.82%</w:t>
            </w:r>
          </w:p>
        </w:tc>
      </w:tr>
      <w:tr>
        <w:tc>
          <w:tcPr>
            <w:tcW w:type="dxa" w:w="2160"/>
          </w:tcPr>
          <w:p>
            <w:pPr>
              <w:spacing w:after="20" w:before="20"/>
            </w:pPr>
            <w:r>
              <w:rPr>
                <w:rFonts w:ascii="Calibri" w:hAnsi="Calibri"/>
                <w:b w:val="0"/>
                <w:sz w:val="17"/>
              </w:rPr>
            </w:r>
            <w:r>
              <w:rPr>
                <w:rFonts w:ascii="Calibri" w:hAnsi="Calibri"/>
                <w:b w:val="0"/>
                <w:sz w:val="17"/>
              </w:rPr>
              <w:t>Spain</w:t>
            </w:r>
          </w:p>
        </w:tc>
        <w:tc>
          <w:tcPr>
            <w:tcW w:type="dxa" w:w="1512"/>
          </w:tcPr>
          <w:p>
            <w:pPr>
              <w:spacing w:after="20" w:before="20"/>
              <w:jc w:val="right"/>
            </w:pPr>
            <w:r>
              <w:rPr>
                <w:rFonts w:ascii="Calibri" w:hAnsi="Calibri"/>
                <w:b w:val="0"/>
                <w:sz w:val="17"/>
              </w:rPr>
            </w:r>
            <w:r>
              <w:rPr>
                <w:rFonts w:ascii="Calibri" w:hAnsi="Calibri"/>
                <w:b w:val="0"/>
                <w:sz w:val="17"/>
              </w:rPr>
              <w:t>£107,488</w:t>
            </w:r>
          </w:p>
        </w:tc>
        <w:tc>
          <w:tcPr>
            <w:tcW w:type="dxa" w:w="1152"/>
          </w:tcPr>
          <w:p>
            <w:pPr>
              <w:spacing w:after="20" w:before="20"/>
              <w:jc w:val="right"/>
            </w:pPr>
            <w:r>
              <w:rPr>
                <w:rFonts w:ascii="Calibri" w:hAnsi="Calibri"/>
                <w:b w:val="0"/>
                <w:sz w:val="17"/>
              </w:rPr>
            </w:r>
            <w:r>
              <w:rPr>
                <w:rFonts w:ascii="Calibri" w:hAnsi="Calibri"/>
                <w:b w:val="0"/>
                <w:sz w:val="17"/>
              </w:rPr>
              <w:t>149</w:t>
            </w:r>
          </w:p>
        </w:tc>
        <w:tc>
          <w:tcPr>
            <w:tcW w:type="dxa" w:w="1296"/>
          </w:tcPr>
          <w:p>
            <w:pPr>
              <w:spacing w:after="20" w:before="20"/>
              <w:jc w:val="right"/>
            </w:pPr>
            <w:r>
              <w:rPr>
                <w:rFonts w:ascii="Calibri" w:hAnsi="Calibri"/>
                <w:b w:val="0"/>
                <w:sz w:val="17"/>
              </w:rPr>
            </w:r>
            <w:r>
              <w:rPr>
                <w:rFonts w:ascii="Calibri" w:hAnsi="Calibri"/>
                <w:b w:val="0"/>
                <w:sz w:val="17"/>
              </w:rPr>
              <w:t>38</w:t>
            </w:r>
          </w:p>
        </w:tc>
        <w:tc>
          <w:tcPr>
            <w:tcW w:type="dxa" w:w="1224"/>
          </w:tcPr>
          <w:p>
            <w:pPr>
              <w:spacing w:after="20" w:before="20"/>
              <w:jc w:val="right"/>
            </w:pPr>
            <w:r>
              <w:rPr>
                <w:rFonts w:ascii="Calibri" w:hAnsi="Calibri"/>
                <w:b w:val="0"/>
                <w:sz w:val="17"/>
              </w:rPr>
            </w:r>
            <w:r>
              <w:rPr>
                <w:rFonts w:ascii="Calibri" w:hAnsi="Calibri"/>
                <w:b w:val="0"/>
                <w:sz w:val="17"/>
              </w:rPr>
              <w:t>£721</w:t>
            </w:r>
          </w:p>
        </w:tc>
        <w:tc>
          <w:tcPr>
            <w:tcW w:type="dxa" w:w="1440"/>
          </w:tcPr>
          <w:p>
            <w:pPr>
              <w:spacing w:after="20" w:before="20"/>
              <w:jc w:val="right"/>
            </w:pPr>
            <w:r>
              <w:rPr>
                <w:rFonts w:ascii="Calibri" w:hAnsi="Calibri"/>
                <w:b w:val="0"/>
                <w:sz w:val="17"/>
              </w:rPr>
            </w:r>
            <w:r>
              <w:rPr>
                <w:rFonts w:ascii="Calibri" w:hAnsi="Calibri"/>
                <w:b w:val="0"/>
                <w:sz w:val="17"/>
              </w:rPr>
              <w:t>0.52%</w:t>
            </w:r>
          </w:p>
        </w:tc>
      </w:tr>
      <w:tr>
        <w:tc>
          <w:tcPr>
            <w:tcW w:type="dxa" w:w="2160"/>
          </w:tcPr>
          <w:p>
            <w:pPr>
              <w:spacing w:after="20" w:before="20"/>
            </w:pPr>
            <w:r>
              <w:rPr>
                <w:rFonts w:ascii="Calibri" w:hAnsi="Calibri"/>
                <w:b w:val="0"/>
                <w:sz w:val="17"/>
              </w:rPr>
            </w:r>
            <w:r>
              <w:rPr>
                <w:rFonts w:ascii="Calibri" w:hAnsi="Calibri"/>
                <w:b w:val="0"/>
                <w:sz w:val="17"/>
              </w:rPr>
              <w:t>Switzerland</w:t>
            </w:r>
          </w:p>
        </w:tc>
        <w:tc>
          <w:tcPr>
            <w:tcW w:type="dxa" w:w="1512"/>
          </w:tcPr>
          <w:p>
            <w:pPr>
              <w:spacing w:after="20" w:before="20"/>
              <w:jc w:val="right"/>
            </w:pPr>
            <w:r>
              <w:rPr>
                <w:rFonts w:ascii="Calibri" w:hAnsi="Calibri"/>
                <w:b w:val="0"/>
                <w:sz w:val="17"/>
              </w:rPr>
            </w:r>
            <w:r>
              <w:rPr>
                <w:rFonts w:ascii="Calibri" w:hAnsi="Calibri"/>
                <w:b w:val="0"/>
                <w:sz w:val="17"/>
              </w:rPr>
              <w:t>£100,989</w:t>
            </w:r>
          </w:p>
        </w:tc>
        <w:tc>
          <w:tcPr>
            <w:tcW w:type="dxa" w:w="1152"/>
          </w:tcPr>
          <w:p>
            <w:pPr>
              <w:spacing w:after="20" w:before="20"/>
              <w:jc w:val="right"/>
            </w:pPr>
            <w:r>
              <w:rPr>
                <w:rFonts w:ascii="Calibri" w:hAnsi="Calibri"/>
                <w:b w:val="0"/>
                <w:sz w:val="17"/>
              </w:rPr>
            </w:r>
            <w:r>
              <w:rPr>
                <w:rFonts w:ascii="Calibri" w:hAnsi="Calibri"/>
                <w:b w:val="0"/>
                <w:sz w:val="17"/>
              </w:rPr>
              <w:t>93</w:t>
            </w:r>
          </w:p>
        </w:tc>
        <w:tc>
          <w:tcPr>
            <w:tcW w:type="dxa" w:w="1296"/>
          </w:tcPr>
          <w:p>
            <w:pPr>
              <w:spacing w:after="20" w:before="20"/>
              <w:jc w:val="right"/>
            </w:pPr>
            <w:r>
              <w:rPr>
                <w:rFonts w:ascii="Calibri" w:hAnsi="Calibri"/>
                <w:b w:val="0"/>
                <w:sz w:val="17"/>
              </w:rPr>
            </w:r>
            <w:r>
              <w:rPr>
                <w:rFonts w:ascii="Calibri" w:hAnsi="Calibri"/>
                <w:b w:val="0"/>
                <w:sz w:val="17"/>
              </w:rPr>
              <w:t>22</w:t>
            </w:r>
          </w:p>
        </w:tc>
        <w:tc>
          <w:tcPr>
            <w:tcW w:type="dxa" w:w="1224"/>
          </w:tcPr>
          <w:p>
            <w:pPr>
              <w:spacing w:after="20" w:before="20"/>
              <w:jc w:val="right"/>
            </w:pPr>
            <w:r>
              <w:rPr>
                <w:rFonts w:ascii="Calibri" w:hAnsi="Calibri"/>
                <w:b w:val="0"/>
                <w:sz w:val="17"/>
              </w:rPr>
            </w:r>
            <w:r>
              <w:rPr>
                <w:rFonts w:ascii="Calibri" w:hAnsi="Calibri"/>
                <w:b w:val="0"/>
                <w:sz w:val="17"/>
              </w:rPr>
              <w:t>£1,086</w:t>
            </w:r>
          </w:p>
        </w:tc>
        <w:tc>
          <w:tcPr>
            <w:tcW w:type="dxa" w:w="1440"/>
          </w:tcPr>
          <w:p>
            <w:pPr>
              <w:spacing w:after="20" w:before="20"/>
              <w:jc w:val="right"/>
            </w:pPr>
            <w:r>
              <w:rPr>
                <w:rFonts w:ascii="Calibri" w:hAnsi="Calibri"/>
                <w:b w:val="0"/>
                <w:sz w:val="17"/>
              </w:rPr>
            </w:r>
            <w:r>
              <w:rPr>
                <w:rFonts w:ascii="Calibri" w:hAnsi="Calibri"/>
                <w:b w:val="0"/>
                <w:sz w:val="17"/>
              </w:rPr>
              <w:t>0.49%</w:t>
            </w:r>
          </w:p>
        </w:tc>
      </w:tr>
      <w:tr>
        <w:tc>
          <w:tcPr>
            <w:tcW w:type="dxa" w:w="2160"/>
          </w:tcPr>
          <w:p>
            <w:pPr>
              <w:spacing w:after="20" w:before="20"/>
            </w:pPr>
            <w:r>
              <w:rPr>
                <w:rFonts w:ascii="Calibri" w:hAnsi="Calibri"/>
                <w:b w:val="0"/>
                <w:sz w:val="17"/>
              </w:rPr>
            </w:r>
            <w:r>
              <w:rPr>
                <w:rFonts w:ascii="Calibri" w:hAnsi="Calibri"/>
                <w:b w:val="0"/>
                <w:sz w:val="17"/>
              </w:rPr>
              <w:t>Sweden</w:t>
            </w:r>
          </w:p>
        </w:tc>
        <w:tc>
          <w:tcPr>
            <w:tcW w:type="dxa" w:w="1512"/>
          </w:tcPr>
          <w:p>
            <w:pPr>
              <w:spacing w:after="20" w:before="20"/>
              <w:jc w:val="right"/>
            </w:pPr>
            <w:r>
              <w:rPr>
                <w:rFonts w:ascii="Calibri" w:hAnsi="Calibri"/>
                <w:b w:val="0"/>
                <w:sz w:val="17"/>
              </w:rPr>
            </w:r>
            <w:r>
              <w:rPr>
                <w:rFonts w:ascii="Calibri" w:hAnsi="Calibri"/>
                <w:b w:val="0"/>
                <w:sz w:val="17"/>
              </w:rPr>
              <w:t>£90,090</w:t>
            </w:r>
          </w:p>
        </w:tc>
        <w:tc>
          <w:tcPr>
            <w:tcW w:type="dxa" w:w="1152"/>
          </w:tcPr>
          <w:p>
            <w:pPr>
              <w:spacing w:after="20" w:before="20"/>
              <w:jc w:val="right"/>
            </w:pPr>
            <w:r>
              <w:rPr>
                <w:rFonts w:ascii="Calibri" w:hAnsi="Calibri"/>
                <w:b w:val="0"/>
                <w:sz w:val="17"/>
              </w:rPr>
            </w:r>
            <w:r>
              <w:rPr>
                <w:rFonts w:ascii="Calibri" w:hAnsi="Calibri"/>
                <w:b w:val="0"/>
                <w:sz w:val="17"/>
              </w:rPr>
              <w:t>103</w:t>
            </w:r>
          </w:p>
        </w:tc>
        <w:tc>
          <w:tcPr>
            <w:tcW w:type="dxa" w:w="1296"/>
          </w:tcPr>
          <w:p>
            <w:pPr>
              <w:spacing w:after="20" w:before="20"/>
              <w:jc w:val="right"/>
            </w:pPr>
            <w:r>
              <w:rPr>
                <w:rFonts w:ascii="Calibri" w:hAnsi="Calibri"/>
                <w:b w:val="0"/>
                <w:sz w:val="17"/>
              </w:rPr>
            </w:r>
            <w:r>
              <w:rPr>
                <w:rFonts w:ascii="Calibri" w:hAnsi="Calibri"/>
                <w:b w:val="0"/>
                <w:sz w:val="17"/>
              </w:rPr>
              <w:t>19</w:t>
            </w:r>
          </w:p>
        </w:tc>
        <w:tc>
          <w:tcPr>
            <w:tcW w:type="dxa" w:w="1224"/>
          </w:tcPr>
          <w:p>
            <w:pPr>
              <w:spacing w:after="20" w:before="20"/>
              <w:jc w:val="right"/>
            </w:pPr>
            <w:r>
              <w:rPr>
                <w:rFonts w:ascii="Calibri" w:hAnsi="Calibri"/>
                <w:b w:val="0"/>
                <w:sz w:val="17"/>
              </w:rPr>
            </w:r>
            <w:r>
              <w:rPr>
                <w:rFonts w:ascii="Calibri" w:hAnsi="Calibri"/>
                <w:b w:val="0"/>
                <w:sz w:val="17"/>
              </w:rPr>
              <w:t>£875</w:t>
            </w:r>
          </w:p>
        </w:tc>
        <w:tc>
          <w:tcPr>
            <w:tcW w:type="dxa" w:w="1440"/>
          </w:tcPr>
          <w:p>
            <w:pPr>
              <w:spacing w:after="20" w:before="20"/>
              <w:jc w:val="right"/>
            </w:pPr>
            <w:r>
              <w:rPr>
                <w:rFonts w:ascii="Calibri" w:hAnsi="Calibri"/>
                <w:b w:val="0"/>
                <w:sz w:val="17"/>
              </w:rPr>
            </w:r>
            <w:r>
              <w:rPr>
                <w:rFonts w:ascii="Calibri" w:hAnsi="Calibri"/>
                <w:b w:val="0"/>
                <w:sz w:val="17"/>
              </w:rPr>
              <w:t>0.44%</w:t>
            </w:r>
          </w:p>
        </w:tc>
      </w:tr>
      <w:tr>
        <w:tc>
          <w:tcPr>
            <w:tcW w:type="dxa" w:w="2160"/>
          </w:tcPr>
          <w:p>
            <w:pPr>
              <w:spacing w:after="20" w:before="20"/>
            </w:pPr>
            <w:r>
              <w:rPr>
                <w:rFonts w:ascii="Calibri" w:hAnsi="Calibri"/>
                <w:b w:val="0"/>
                <w:sz w:val="17"/>
              </w:rPr>
            </w:r>
            <w:r>
              <w:rPr>
                <w:rFonts w:ascii="Calibri" w:hAnsi="Calibri"/>
                <w:b w:val="0"/>
                <w:sz w:val="17"/>
              </w:rPr>
              <w:t>Denmark</w:t>
            </w:r>
          </w:p>
        </w:tc>
        <w:tc>
          <w:tcPr>
            <w:tcW w:type="dxa" w:w="1512"/>
          </w:tcPr>
          <w:p>
            <w:pPr>
              <w:spacing w:after="20" w:before="20"/>
              <w:jc w:val="right"/>
            </w:pPr>
            <w:r>
              <w:rPr>
                <w:rFonts w:ascii="Calibri" w:hAnsi="Calibri"/>
                <w:b w:val="0"/>
                <w:sz w:val="17"/>
              </w:rPr>
            </w:r>
            <w:r>
              <w:rPr>
                <w:rFonts w:ascii="Calibri" w:hAnsi="Calibri"/>
                <w:b w:val="0"/>
                <w:sz w:val="17"/>
              </w:rPr>
              <w:t>£69,862</w:t>
            </w:r>
          </w:p>
        </w:tc>
        <w:tc>
          <w:tcPr>
            <w:tcW w:type="dxa" w:w="1152"/>
          </w:tcPr>
          <w:p>
            <w:pPr>
              <w:spacing w:after="20" w:before="20"/>
              <w:jc w:val="right"/>
            </w:pPr>
            <w:r>
              <w:rPr>
                <w:rFonts w:ascii="Calibri" w:hAnsi="Calibri"/>
                <w:b w:val="0"/>
                <w:sz w:val="17"/>
              </w:rPr>
            </w:r>
            <w:r>
              <w:rPr>
                <w:rFonts w:ascii="Calibri" w:hAnsi="Calibri"/>
                <w:b w:val="0"/>
                <w:sz w:val="17"/>
              </w:rPr>
              <w:t>43</w:t>
            </w:r>
          </w:p>
        </w:tc>
        <w:tc>
          <w:tcPr>
            <w:tcW w:type="dxa" w:w="1296"/>
          </w:tcPr>
          <w:p>
            <w:pPr>
              <w:spacing w:after="20" w:before="20"/>
              <w:jc w:val="right"/>
            </w:pPr>
            <w:r>
              <w:rPr>
                <w:rFonts w:ascii="Calibri" w:hAnsi="Calibri"/>
                <w:b w:val="0"/>
                <w:sz w:val="17"/>
              </w:rPr>
            </w:r>
            <w:r>
              <w:rPr>
                <w:rFonts w:ascii="Calibri" w:hAnsi="Calibri"/>
                <w:b w:val="0"/>
                <w:sz w:val="17"/>
              </w:rPr>
              <w:t>12</w:t>
            </w:r>
          </w:p>
        </w:tc>
        <w:tc>
          <w:tcPr>
            <w:tcW w:type="dxa" w:w="1224"/>
          </w:tcPr>
          <w:p>
            <w:pPr>
              <w:spacing w:after="20" w:before="20"/>
              <w:jc w:val="right"/>
            </w:pPr>
            <w:r>
              <w:rPr>
                <w:rFonts w:ascii="Calibri" w:hAnsi="Calibri"/>
                <w:b w:val="0"/>
                <w:sz w:val="17"/>
              </w:rPr>
            </w:r>
            <w:r>
              <w:rPr>
                <w:rFonts w:ascii="Calibri" w:hAnsi="Calibri"/>
                <w:b w:val="0"/>
                <w:sz w:val="17"/>
              </w:rPr>
              <w:t>£1,625</w:t>
            </w:r>
          </w:p>
        </w:tc>
        <w:tc>
          <w:tcPr>
            <w:tcW w:type="dxa" w:w="1440"/>
          </w:tcPr>
          <w:p>
            <w:pPr>
              <w:spacing w:after="20" w:before="20"/>
              <w:jc w:val="right"/>
            </w:pPr>
            <w:r>
              <w:rPr>
                <w:rFonts w:ascii="Calibri" w:hAnsi="Calibri"/>
                <w:b w:val="0"/>
                <w:sz w:val="17"/>
              </w:rPr>
            </w:r>
            <w:r>
              <w:rPr>
                <w:rFonts w:ascii="Calibri" w:hAnsi="Calibri"/>
                <w:b w:val="0"/>
                <w:sz w:val="17"/>
              </w:rPr>
              <w:t>0.34%</w:t>
            </w:r>
          </w:p>
        </w:tc>
      </w:tr>
      <w:tr>
        <w:tc>
          <w:tcPr>
            <w:tcW w:type="dxa" w:w="2160"/>
          </w:tcPr>
          <w:p>
            <w:pPr>
              <w:spacing w:after="20" w:before="20"/>
            </w:pPr>
            <w:r>
              <w:rPr>
                <w:rFonts w:ascii="Calibri" w:hAnsi="Calibri"/>
                <w:b w:val="0"/>
                <w:sz w:val="17"/>
              </w:rPr>
            </w:r>
            <w:r>
              <w:rPr>
                <w:rFonts w:ascii="Calibri" w:hAnsi="Calibri"/>
                <w:b w:val="0"/>
                <w:sz w:val="17"/>
              </w:rPr>
              <w:t>Belgium</w:t>
            </w:r>
          </w:p>
        </w:tc>
        <w:tc>
          <w:tcPr>
            <w:tcW w:type="dxa" w:w="1512"/>
          </w:tcPr>
          <w:p>
            <w:pPr>
              <w:spacing w:after="20" w:before="20"/>
              <w:jc w:val="right"/>
            </w:pPr>
            <w:r>
              <w:rPr>
                <w:rFonts w:ascii="Calibri" w:hAnsi="Calibri"/>
                <w:b w:val="0"/>
                <w:sz w:val="17"/>
              </w:rPr>
            </w:r>
            <w:r>
              <w:rPr>
                <w:rFonts w:ascii="Calibri" w:hAnsi="Calibri"/>
                <w:b w:val="0"/>
                <w:sz w:val="17"/>
              </w:rPr>
              <w:t>£64,225</w:t>
            </w:r>
          </w:p>
        </w:tc>
        <w:tc>
          <w:tcPr>
            <w:tcW w:type="dxa" w:w="1152"/>
          </w:tcPr>
          <w:p>
            <w:pPr>
              <w:spacing w:after="20" w:before="20"/>
              <w:jc w:val="right"/>
            </w:pPr>
            <w:r>
              <w:rPr>
                <w:rFonts w:ascii="Calibri" w:hAnsi="Calibri"/>
                <w:b w:val="0"/>
                <w:sz w:val="17"/>
              </w:rPr>
            </w:r>
            <w:r>
              <w:rPr>
                <w:rFonts w:ascii="Calibri" w:hAnsi="Calibri"/>
                <w:b w:val="0"/>
                <w:sz w:val="17"/>
              </w:rPr>
              <w:t>148</w:t>
            </w:r>
          </w:p>
        </w:tc>
        <w:tc>
          <w:tcPr>
            <w:tcW w:type="dxa" w:w="1296"/>
          </w:tcPr>
          <w:p>
            <w:pPr>
              <w:spacing w:after="20" w:before="20"/>
              <w:jc w:val="right"/>
            </w:pPr>
            <w:r>
              <w:rPr>
                <w:rFonts w:ascii="Calibri" w:hAnsi="Calibri"/>
                <w:b w:val="0"/>
                <w:sz w:val="17"/>
              </w:rPr>
            </w:r>
            <w:r>
              <w:rPr>
                <w:rFonts w:ascii="Calibri" w:hAnsi="Calibri"/>
                <w:b w:val="0"/>
                <w:sz w:val="17"/>
              </w:rPr>
              <w:t>29</w:t>
            </w:r>
          </w:p>
        </w:tc>
        <w:tc>
          <w:tcPr>
            <w:tcW w:type="dxa" w:w="1224"/>
          </w:tcPr>
          <w:p>
            <w:pPr>
              <w:spacing w:after="20" w:before="20"/>
              <w:jc w:val="right"/>
            </w:pPr>
            <w:r>
              <w:rPr>
                <w:rFonts w:ascii="Calibri" w:hAnsi="Calibri"/>
                <w:b w:val="0"/>
                <w:sz w:val="17"/>
              </w:rPr>
            </w:r>
            <w:r>
              <w:rPr>
                <w:rFonts w:ascii="Calibri" w:hAnsi="Calibri"/>
                <w:b w:val="0"/>
                <w:sz w:val="17"/>
              </w:rPr>
              <w:t>£434</w:t>
            </w:r>
          </w:p>
        </w:tc>
        <w:tc>
          <w:tcPr>
            <w:tcW w:type="dxa" w:w="1440"/>
          </w:tcPr>
          <w:p>
            <w:pPr>
              <w:spacing w:after="20" w:before="20"/>
              <w:jc w:val="right"/>
            </w:pPr>
            <w:r>
              <w:rPr>
                <w:rFonts w:ascii="Calibri" w:hAnsi="Calibri"/>
                <w:b w:val="0"/>
                <w:sz w:val="17"/>
              </w:rPr>
            </w:r>
            <w:r>
              <w:rPr>
                <w:rFonts w:ascii="Calibri" w:hAnsi="Calibri"/>
                <w:b w:val="0"/>
                <w:sz w:val="17"/>
              </w:rPr>
              <w:t>0.31%</w:t>
            </w:r>
          </w:p>
        </w:tc>
      </w:tr>
      <w:tr>
        <w:tc>
          <w:tcPr>
            <w:tcW w:type="dxa" w:w="2160"/>
          </w:tcPr>
          <w:p>
            <w:pPr>
              <w:spacing w:after="20" w:before="20"/>
            </w:pPr>
            <w:r>
              <w:rPr>
                <w:rFonts w:ascii="Calibri" w:hAnsi="Calibri"/>
                <w:b w:val="0"/>
                <w:sz w:val="17"/>
              </w:rPr>
            </w:r>
            <w:r>
              <w:rPr>
                <w:rFonts w:ascii="Calibri" w:hAnsi="Calibri"/>
                <w:b w:val="0"/>
                <w:sz w:val="17"/>
              </w:rPr>
              <w:t>Portugal</w:t>
            </w:r>
          </w:p>
        </w:tc>
        <w:tc>
          <w:tcPr>
            <w:tcW w:type="dxa" w:w="1512"/>
          </w:tcPr>
          <w:p>
            <w:pPr>
              <w:spacing w:after="20" w:before="20"/>
              <w:jc w:val="right"/>
            </w:pPr>
            <w:r>
              <w:rPr>
                <w:rFonts w:ascii="Calibri" w:hAnsi="Calibri"/>
                <w:b w:val="0"/>
                <w:sz w:val="17"/>
              </w:rPr>
            </w:r>
            <w:r>
              <w:rPr>
                <w:rFonts w:ascii="Calibri" w:hAnsi="Calibri"/>
                <w:b w:val="0"/>
                <w:sz w:val="17"/>
              </w:rPr>
              <w:t>£53,606</w:t>
            </w:r>
          </w:p>
        </w:tc>
        <w:tc>
          <w:tcPr>
            <w:tcW w:type="dxa" w:w="1152"/>
          </w:tcPr>
          <w:p>
            <w:pPr>
              <w:spacing w:after="20" w:before="20"/>
              <w:jc w:val="right"/>
            </w:pPr>
            <w:r>
              <w:rPr>
                <w:rFonts w:ascii="Calibri" w:hAnsi="Calibri"/>
                <w:b w:val="0"/>
                <w:sz w:val="17"/>
              </w:rPr>
            </w:r>
            <w:r>
              <w:rPr>
                <w:rFonts w:ascii="Calibri" w:hAnsi="Calibri"/>
                <w:b w:val="0"/>
                <w:sz w:val="17"/>
              </w:rPr>
              <w:t>88</w:t>
            </w:r>
          </w:p>
        </w:tc>
        <w:tc>
          <w:tcPr>
            <w:tcW w:type="dxa" w:w="1296"/>
          </w:tcPr>
          <w:p>
            <w:pPr>
              <w:spacing w:after="20" w:before="20"/>
              <w:jc w:val="right"/>
            </w:pPr>
            <w:r>
              <w:rPr>
                <w:rFonts w:ascii="Calibri" w:hAnsi="Calibri"/>
                <w:b w:val="0"/>
                <w:sz w:val="17"/>
              </w:rPr>
            </w:r>
            <w:r>
              <w:rPr>
                <w:rFonts w:ascii="Calibri" w:hAnsi="Calibri"/>
                <w:b w:val="0"/>
                <w:sz w:val="17"/>
              </w:rPr>
              <w:t>23</w:t>
            </w:r>
          </w:p>
        </w:tc>
        <w:tc>
          <w:tcPr>
            <w:tcW w:type="dxa" w:w="1224"/>
          </w:tcPr>
          <w:p>
            <w:pPr>
              <w:spacing w:after="20" w:before="20"/>
              <w:jc w:val="right"/>
            </w:pPr>
            <w:r>
              <w:rPr>
                <w:rFonts w:ascii="Calibri" w:hAnsi="Calibri"/>
                <w:b w:val="0"/>
                <w:sz w:val="17"/>
              </w:rPr>
            </w:r>
            <w:r>
              <w:rPr>
                <w:rFonts w:ascii="Calibri" w:hAnsi="Calibri"/>
                <w:b w:val="0"/>
                <w:sz w:val="17"/>
              </w:rPr>
              <w:t>£609</w:t>
            </w:r>
          </w:p>
        </w:tc>
        <w:tc>
          <w:tcPr>
            <w:tcW w:type="dxa" w:w="1440"/>
          </w:tcPr>
          <w:p>
            <w:pPr>
              <w:spacing w:after="20" w:before="20"/>
              <w:jc w:val="right"/>
            </w:pPr>
            <w:r>
              <w:rPr>
                <w:rFonts w:ascii="Calibri" w:hAnsi="Calibri"/>
                <w:b w:val="0"/>
                <w:sz w:val="17"/>
              </w:rPr>
            </w:r>
            <w:r>
              <w:rPr>
                <w:rFonts w:ascii="Calibri" w:hAnsi="Calibri"/>
                <w:b w:val="0"/>
                <w:sz w:val="17"/>
              </w:rPr>
              <w:t>0.26%</w:t>
            </w:r>
          </w:p>
        </w:tc>
      </w:tr>
    </w:tbl>
    <w:p/>
    <w:p>
      <w:r>
        <w:rPr>
          <w:b/>
          <w:i w:val="0"/>
        </w:rPr>
        <w:t>The United Kingdom is 85.36% of revenue (£17,514,781).</w:t>
      </w:r>
      <w:r>
        <w:rPr>
          <w:b w:val="0"/>
          <w:i w:val="0"/>
        </w:rPr>
        <w:t xml:space="preserve"> All 42 other markets together produce £3,002,772, led by EIRE at £638,552. That is a concentration risk stated plainly.</w:t>
      </w:r>
    </w:p>
    <w:p>
      <w:r>
        <w:rPr>
          <w:b w:val="0"/>
          <w:i w:val="0"/>
        </w:rPr>
        <w:t xml:space="preserve">The revenue ranking hides the more interesting number. </w:t>
      </w:r>
      <w:r>
        <w:rPr>
          <w:b/>
          <w:i w:val="0"/>
        </w:rPr>
        <w:t>Netherlands averages £2,484.46 per order against the UK's £483.27 - 5.1x</w:t>
      </w:r>
      <w:r>
        <w:rPr>
          <w:b w:val="0"/>
          <w:i w:val="0"/>
        </w:rPr>
        <w:t xml:space="preserve"> - on a small number of orders. The export business is low-volume and high-value, which is a different business from the domestic one. On a base this small it is a hypothesis worth testing, not a conclusion to act on.</w:t>
      </w:r>
    </w:p>
    <w:p>
      <w:pPr>
        <w:pStyle w:val="Heading2"/>
      </w:pPr>
      <w:r>
        <w:t>7.6  Order value</w:t>
      </w:r>
    </w:p>
    <w:p>
      <w:r>
        <w:rPr>
          <w:b w:val="0"/>
          <w:i w:val="0"/>
        </w:rPr>
        <w:t>Average order value is £517.14 against a median of £303.85 - the mean is 1.70x the median, so a minority of very large baskets is pulling the average away from the typical order. Orders average 25.9 product lines and 11,375,286 units were sold in total, both consistent with wholesale buying rather than consumer shopping.</w:t>
      </w:r>
    </w:p>
    <w:p>
      <w:pPr>
        <w:pStyle w:val="Heading2"/>
      </w:pPr>
      <w:r>
        <w:t>7.7  Returns and cancellations</w:t>
      </w:r>
    </w:p>
    <w:p>
      <w:pPr>
        <w:spacing w:after="40"/>
        <w:jc w:val="center"/>
      </w:pPr>
      <w:r>
        <w:drawing>
          <wp:inline xmlns:a="http://schemas.openxmlformats.org/drawingml/2006/main" xmlns:pic="http://schemas.openxmlformats.org/drawingml/2006/picture">
            <wp:extent cx="5623560" cy="2590455"/>
            <wp:docPr id="6" name="Picture 6"/>
            <wp:cNvGraphicFramePr>
              <a:graphicFrameLocks noChangeAspect="1"/>
            </wp:cNvGraphicFramePr>
            <a:graphic>
              <a:graphicData uri="http://schemas.openxmlformats.org/drawingml/2006/picture">
                <pic:pic>
                  <pic:nvPicPr>
                    <pic:cNvPr id="0" name="06_return_rate.png"/>
                    <pic:cNvPicPr/>
                  </pic:nvPicPr>
                  <pic:blipFill>
                    <a:blip r:embed="rId15"/>
                    <a:stretch>
                      <a:fillRect/>
                    </a:stretch>
                  </pic:blipFill>
                  <pic:spPr>
                    <a:xfrm>
                      <a:off x="0" y="0"/>
                      <a:ext cx="5623560" cy="2590455"/>
                    </a:xfrm>
                    <a:prstGeom prst="rect"/>
                  </pic:spPr>
                </pic:pic>
              </a:graphicData>
            </a:graphic>
          </wp:inline>
        </w:drawing>
      </w:r>
    </w:p>
    <w:p>
      <w:pPr>
        <w:spacing w:before="40" w:after="240"/>
        <w:jc w:val="center"/>
      </w:pPr>
      <w:r>
        <w:rPr>
          <w:b w:val="0"/>
          <w:i/>
          <w:color w:val="77776F"/>
          <w:sz w:val="17"/>
        </w:rPr>
        <w:t>Figure 6. Monthly return rate against the overall average.</w:t>
      </w:r>
    </w:p>
    <w:p>
      <w:r>
        <w:rPr>
          <w:b w:val="0"/>
          <w:i w:val="0"/>
        </w:rPr>
        <w:t xml:space="preserve">Customer returns total </w:t>
      </w:r>
      <w:r>
        <w:rPr>
          <w:b/>
          <w:i w:val="0"/>
        </w:rPr>
        <w:t>£738,952 across 18,467 lines - 3.60% of gross revenue</w:t>
      </w:r>
      <w:r>
        <w:rPr>
          <w:b w:val="0"/>
          <w:i w:val="0"/>
        </w:rPr>
        <w:t>, taking £20.52M down to a net £19.78M. 2,465 customers returned something at least once.</w:t>
      </w:r>
    </w:p>
    <w:p>
      <w:r>
        <w:rPr>
          <w:b w:val="0"/>
          <w:i w:val="0"/>
        </w:rPr>
        <w:t xml:space="preserve">A return rate is a ratio, so both sides of it have to count the same population, and getting that wrong here roughly doubles the answer. The credit notes set aside in cleaning step 3 come to £1,523,788 across 19,432 lines, but £784,837 of that - 965 lines - is administrative rather than a customer sending goods back: </w:t>
      </w:r>
      <w:r>
        <w:rPr>
          <w:rFonts w:ascii="Consolas" w:hAnsi="Consolas"/>
          <w:b w:val="0"/>
          <w:i w:val="0"/>
          <w:sz w:val="19"/>
        </w:rPr>
        <w:t>MANUAL</w:t>
      </w:r>
      <w:r>
        <w:rPr>
          <w:b w:val="0"/>
          <w:i w:val="0"/>
        </w:rPr>
        <w:t xml:space="preserve"> adjustments, </w:t>
      </w:r>
      <w:r>
        <w:rPr>
          <w:rFonts w:ascii="Consolas" w:hAnsi="Consolas"/>
          <w:b w:val="0"/>
          <w:i w:val="0"/>
          <w:sz w:val="19"/>
        </w:rPr>
        <w:t>AMAZONFEE</w:t>
      </w:r>
      <w:r>
        <w:rPr>
          <w:b w:val="0"/>
          <w:i w:val="0"/>
        </w:rPr>
        <w:t>, bank charges, discounts, charity lines and samples. Cleaning step 7 removes exactly those stock codes from the revenue base, so counting them in the numerator while the denominator excludes them would divide one population by another. Including them would report 7.43% rather than 3.60%. They are real money and are itemised in the notebook, but they are not returns.</w:t>
      </w:r>
    </w:p>
    <w:p>
      <w:r>
        <w:rPr>
          <w:b w:val="0"/>
          <w:i w:val="0"/>
        </w:rPr>
        <w:t xml:space="preserve">The aggregate rate hides the pattern. The monthly rate averages 3.0% but </w:t>
      </w:r>
      <w:r>
        <w:rPr>
          <w:b/>
          <w:i w:val="0"/>
        </w:rPr>
        <w:t>spikes to 13.30% in January 2011</w:t>
      </w:r>
      <w:r>
        <w:rPr>
          <w:b w:val="0"/>
          <w:i w:val="0"/>
        </w:rPr>
        <w:t>, immediately after the Christmas peak. Returns are a post-seasonal event, so a single annual return-rate assumption under-provisions January and over-provisions the rest of the year.</w:t>
      </w:r>
    </w:p>
    <w:p>
      <w:pPr>
        <w:spacing w:after="40"/>
        <w:jc w:val="center"/>
      </w:pPr>
      <w:r>
        <w:drawing>
          <wp:inline xmlns:a="http://schemas.openxmlformats.org/drawingml/2006/main" xmlns:pic="http://schemas.openxmlformats.org/drawingml/2006/picture">
            <wp:extent cx="5623560" cy="2492811"/>
            <wp:docPr id="7" name="Picture 7"/>
            <wp:cNvGraphicFramePr>
              <a:graphicFrameLocks noChangeAspect="1"/>
            </wp:cNvGraphicFramePr>
            <a:graphic>
              <a:graphicData uri="http://schemas.openxmlformats.org/drawingml/2006/picture">
                <pic:pic>
                  <pic:nvPicPr>
                    <pic:cNvPr id="0" name="07_top_returned.png"/>
                    <pic:cNvPicPr/>
                  </pic:nvPicPr>
                  <pic:blipFill>
                    <a:blip r:embed="rId16"/>
                    <a:stretch>
                      <a:fillRect/>
                    </a:stretch>
                  </pic:blipFill>
                  <pic:spPr>
                    <a:xfrm>
                      <a:off x="0" y="0"/>
                      <a:ext cx="5623560" cy="2492811"/>
                    </a:xfrm>
                    <a:prstGeom prst="rect"/>
                  </pic:spPr>
                </pic:pic>
              </a:graphicData>
            </a:graphic>
          </wp:inline>
        </w:drawing>
      </w:r>
    </w:p>
    <w:p>
      <w:pPr>
        <w:spacing w:before="40" w:after="240"/>
        <w:jc w:val="center"/>
      </w:pPr>
      <w:r>
        <w:rPr>
          <w:b w:val="0"/>
          <w:i/>
          <w:color w:val="77776F"/>
          <w:sz w:val="17"/>
        </w:rPr>
        <w:t>Figure 7. The ten products with the largest returned value, with each product's return rate.</w:t>
      </w:r>
    </w:p>
    <w:p>
      <w:pPr>
        <w:spacing w:before="40" w:after="40"/>
        <w:jc w:val="left"/>
      </w:pPr>
      <w:r>
        <w:rPr>
          <w:b w:val="0"/>
          <w:i/>
          <w:color w:val="77776F"/>
          <w:sz w:val="17"/>
        </w:rPr>
        <w:t>Table 9. Most-returned products by value. A 100% rate on a single line is a cancelled order, not a quality problem.</w:t>
      </w:r>
    </w:p>
    <w:tbl>
      <w:tblPr>
        <w:tblStyle w:val="LightGrid-Accent1"/>
        <w:tblW w:type="auto" w:w="0"/>
        <w:jc w:val="center"/>
        <w:tblLayout w:type="fixed"/>
        <w:tblLook w:firstColumn="1" w:firstRow="1" w:lastColumn="0" w:lastRow="0" w:noHBand="0" w:noVBand="1" w:val="04A0"/>
      </w:tblPr>
      <w:tblGrid>
        <w:gridCol w:w="1882"/>
        <w:gridCol w:w="1882"/>
        <w:gridCol w:w="1882"/>
        <w:gridCol w:w="1882"/>
        <w:gridCol w:w="1882"/>
      </w:tblGrid>
      <w:tr>
        <w:tc>
          <w:tcPr>
            <w:tcW w:type="dxa" w:w="3744"/>
          </w:tcPr>
          <w:p>
            <w:pPr>
              <w:spacing w:after="20" w:before="20"/>
            </w:pPr>
            <w:r>
              <w:rPr>
                <w:rFonts w:ascii="Calibri" w:hAnsi="Calibri"/>
                <w:b/>
                <w:sz w:val="17"/>
              </w:rPr>
            </w:r>
            <w:r>
              <w:rPr>
                <w:rFonts w:ascii="Calibri" w:hAnsi="Calibri"/>
                <w:b/>
                <w:sz w:val="17"/>
              </w:rPr>
              <w:t>Product</w:t>
            </w:r>
          </w:p>
        </w:tc>
        <w:tc>
          <w:tcPr>
            <w:tcW w:type="dxa" w:w="1368"/>
          </w:tcPr>
          <w:p>
            <w:pPr>
              <w:spacing w:after="20" w:before="20"/>
              <w:jc w:val="right"/>
            </w:pPr>
            <w:r>
              <w:rPr>
                <w:rFonts w:ascii="Calibri" w:hAnsi="Calibri"/>
                <w:b/>
                <w:sz w:val="17"/>
              </w:rPr>
            </w:r>
            <w:r>
              <w:rPr>
                <w:rFonts w:ascii="Calibri" w:hAnsi="Calibri"/>
                <w:b/>
                <w:sz w:val="17"/>
              </w:rPr>
              <w:t>Returned</w:t>
            </w:r>
          </w:p>
        </w:tc>
        <w:tc>
          <w:tcPr>
            <w:tcW w:type="dxa" w:w="1368"/>
          </w:tcPr>
          <w:p>
            <w:pPr>
              <w:spacing w:after="20" w:before="20"/>
              <w:jc w:val="right"/>
            </w:pPr>
            <w:r>
              <w:rPr>
                <w:rFonts w:ascii="Calibri" w:hAnsi="Calibri"/>
                <w:b/>
                <w:sz w:val="17"/>
              </w:rPr>
            </w:r>
            <w:r>
              <w:rPr>
                <w:rFonts w:ascii="Calibri" w:hAnsi="Calibri"/>
                <w:b/>
                <w:sz w:val="17"/>
              </w:rPr>
              <w:t>Sold</w:t>
            </w:r>
          </w:p>
        </w:tc>
        <w:tc>
          <w:tcPr>
            <w:tcW w:type="dxa" w:w="1224"/>
          </w:tcPr>
          <w:p>
            <w:pPr>
              <w:spacing w:after="20" w:before="20"/>
              <w:jc w:val="right"/>
            </w:pPr>
            <w:r>
              <w:rPr>
                <w:rFonts w:ascii="Calibri" w:hAnsi="Calibri"/>
                <w:b/>
                <w:sz w:val="17"/>
              </w:rPr>
            </w:r>
            <w:r>
              <w:rPr>
                <w:rFonts w:ascii="Calibri" w:hAnsi="Calibri"/>
                <w:b/>
                <w:sz w:val="17"/>
              </w:rPr>
              <w:t>Return rate</w:t>
            </w:r>
          </w:p>
        </w:tc>
        <w:tc>
          <w:tcPr>
            <w:tcW w:type="dxa" w:w="1008"/>
          </w:tcPr>
          <w:p>
            <w:pPr>
              <w:spacing w:after="20" w:before="20"/>
              <w:jc w:val="right"/>
            </w:pPr>
            <w:r>
              <w:rPr>
                <w:rFonts w:ascii="Calibri" w:hAnsi="Calibri"/>
                <w:b/>
                <w:sz w:val="17"/>
              </w:rPr>
            </w:r>
            <w:r>
              <w:rPr>
                <w:rFonts w:ascii="Calibri" w:hAnsi="Calibri"/>
                <w:b/>
                <w:sz w:val="17"/>
              </w:rPr>
              <w:t>Lines</w:t>
            </w:r>
          </w:p>
        </w:tc>
      </w:tr>
      <w:tr>
        <w:tc>
          <w:tcPr>
            <w:tcW w:type="dxa" w:w="3744"/>
          </w:tcPr>
          <w:p>
            <w:pPr>
              <w:spacing w:after="20" w:before="20"/>
            </w:pPr>
            <w:r>
              <w:rPr>
                <w:rFonts w:ascii="Calibri" w:hAnsi="Calibri"/>
                <w:b w:val="0"/>
                <w:sz w:val="17"/>
              </w:rPr>
            </w:r>
            <w:r>
              <w:rPr>
                <w:rFonts w:ascii="Calibri" w:hAnsi="Calibri"/>
                <w:b w:val="0"/>
                <w:sz w:val="17"/>
              </w:rPr>
              <w:t>Paper Craft , Little Birdie</w:t>
            </w:r>
          </w:p>
        </w:tc>
        <w:tc>
          <w:tcPr>
            <w:tcW w:type="dxa" w:w="1368"/>
          </w:tcPr>
          <w:p>
            <w:pPr>
              <w:spacing w:after="20" w:before="20"/>
              <w:jc w:val="right"/>
            </w:pPr>
            <w:r>
              <w:rPr>
                <w:rFonts w:ascii="Calibri" w:hAnsi="Calibri"/>
                <w:b w:val="0"/>
                <w:sz w:val="17"/>
              </w:rPr>
            </w:r>
            <w:r>
              <w:rPr>
                <w:rFonts w:ascii="Calibri" w:hAnsi="Calibri"/>
                <w:b w:val="0"/>
                <w:sz w:val="17"/>
              </w:rPr>
              <w:t>£168,470</w:t>
            </w:r>
          </w:p>
        </w:tc>
        <w:tc>
          <w:tcPr>
            <w:tcW w:type="dxa" w:w="1368"/>
          </w:tcPr>
          <w:p>
            <w:pPr>
              <w:spacing w:after="20" w:before="20"/>
              <w:jc w:val="right"/>
            </w:pPr>
            <w:r>
              <w:rPr>
                <w:rFonts w:ascii="Calibri" w:hAnsi="Calibri"/>
                <w:b w:val="0"/>
                <w:sz w:val="17"/>
              </w:rPr>
            </w:r>
            <w:r>
              <w:rPr>
                <w:rFonts w:ascii="Calibri" w:hAnsi="Calibri"/>
                <w:b w:val="0"/>
                <w:sz w:val="17"/>
              </w:rPr>
              <w:t>£168,470</w:t>
            </w:r>
          </w:p>
        </w:tc>
        <w:tc>
          <w:tcPr>
            <w:tcW w:type="dxa" w:w="1224"/>
          </w:tcPr>
          <w:p>
            <w:pPr>
              <w:spacing w:after="20" w:before="20"/>
              <w:jc w:val="right"/>
            </w:pPr>
            <w:r>
              <w:rPr>
                <w:rFonts w:ascii="Calibri" w:hAnsi="Calibri"/>
                <w:b w:val="0"/>
                <w:sz w:val="17"/>
              </w:rPr>
            </w:r>
            <w:r>
              <w:rPr>
                <w:rFonts w:ascii="Calibri" w:hAnsi="Calibri"/>
                <w:b w:val="0"/>
                <w:sz w:val="17"/>
              </w:rPr>
              <w:t>100.0%</w:t>
            </w:r>
          </w:p>
        </w:tc>
        <w:tc>
          <w:tcPr>
            <w:tcW w:type="dxa" w:w="1008"/>
          </w:tcPr>
          <w:p>
            <w:pPr>
              <w:spacing w:after="20" w:before="20"/>
              <w:jc w:val="right"/>
            </w:pPr>
            <w:r>
              <w:rPr>
                <w:rFonts w:ascii="Calibri" w:hAnsi="Calibri"/>
                <w:b w:val="0"/>
                <w:sz w:val="17"/>
              </w:rPr>
            </w:r>
            <w:r>
              <w:rPr>
                <w:rFonts w:ascii="Calibri" w:hAnsi="Calibri"/>
                <w:b w:val="0"/>
                <w:sz w:val="17"/>
              </w:rPr>
              <w:t>1</w:t>
            </w:r>
          </w:p>
        </w:tc>
      </w:tr>
      <w:tr>
        <w:tc>
          <w:tcPr>
            <w:tcW w:type="dxa" w:w="3744"/>
          </w:tcPr>
          <w:p>
            <w:pPr>
              <w:spacing w:after="20" w:before="20"/>
            </w:pPr>
            <w:r>
              <w:rPr>
                <w:rFonts w:ascii="Calibri" w:hAnsi="Calibri"/>
                <w:b w:val="0"/>
                <w:sz w:val="17"/>
              </w:rPr>
            </w:r>
            <w:r>
              <w:rPr>
                <w:rFonts w:ascii="Calibri" w:hAnsi="Calibri"/>
                <w:b w:val="0"/>
                <w:sz w:val="17"/>
              </w:rPr>
              <w:t>Medium Ceramic Top Storage Jar</w:t>
            </w:r>
          </w:p>
        </w:tc>
        <w:tc>
          <w:tcPr>
            <w:tcW w:type="dxa" w:w="1368"/>
          </w:tcPr>
          <w:p>
            <w:pPr>
              <w:spacing w:after="20" w:before="20"/>
              <w:jc w:val="right"/>
            </w:pPr>
            <w:r>
              <w:rPr>
                <w:rFonts w:ascii="Calibri" w:hAnsi="Calibri"/>
                <w:b w:val="0"/>
                <w:sz w:val="17"/>
              </w:rPr>
            </w:r>
            <w:r>
              <w:rPr>
                <w:rFonts w:ascii="Calibri" w:hAnsi="Calibri"/>
                <w:b w:val="0"/>
                <w:sz w:val="17"/>
              </w:rPr>
              <w:t>£77,480</w:t>
            </w:r>
          </w:p>
        </w:tc>
        <w:tc>
          <w:tcPr>
            <w:tcW w:type="dxa" w:w="1368"/>
          </w:tcPr>
          <w:p>
            <w:pPr>
              <w:spacing w:after="20" w:before="20"/>
              <w:jc w:val="right"/>
            </w:pPr>
            <w:r>
              <w:rPr>
                <w:rFonts w:ascii="Calibri" w:hAnsi="Calibri"/>
                <w:b w:val="0"/>
                <w:sz w:val="17"/>
              </w:rPr>
            </w:r>
            <w:r>
              <w:rPr>
                <w:rFonts w:ascii="Calibri" w:hAnsi="Calibri"/>
                <w:b w:val="0"/>
                <w:sz w:val="17"/>
              </w:rPr>
              <w:t>£81,701</w:t>
            </w:r>
          </w:p>
        </w:tc>
        <w:tc>
          <w:tcPr>
            <w:tcW w:type="dxa" w:w="1224"/>
          </w:tcPr>
          <w:p>
            <w:pPr>
              <w:spacing w:after="20" w:before="20"/>
              <w:jc w:val="right"/>
            </w:pPr>
            <w:r>
              <w:rPr>
                <w:rFonts w:ascii="Calibri" w:hAnsi="Calibri"/>
                <w:b w:val="0"/>
                <w:sz w:val="17"/>
              </w:rPr>
            </w:r>
            <w:r>
              <w:rPr>
                <w:rFonts w:ascii="Calibri" w:hAnsi="Calibri"/>
                <w:b w:val="0"/>
                <w:sz w:val="17"/>
              </w:rPr>
              <w:t>94.8%</w:t>
            </w:r>
          </w:p>
        </w:tc>
        <w:tc>
          <w:tcPr>
            <w:tcW w:type="dxa" w:w="1008"/>
          </w:tcPr>
          <w:p>
            <w:pPr>
              <w:spacing w:after="20" w:before="20"/>
              <w:jc w:val="right"/>
            </w:pPr>
            <w:r>
              <w:rPr>
                <w:rFonts w:ascii="Calibri" w:hAnsi="Calibri"/>
                <w:b w:val="0"/>
                <w:sz w:val="17"/>
              </w:rPr>
            </w:r>
            <w:r>
              <w:rPr>
                <w:rFonts w:ascii="Calibri" w:hAnsi="Calibri"/>
                <w:b w:val="0"/>
                <w:sz w:val="17"/>
              </w:rPr>
              <w:t>10</w:t>
            </w:r>
          </w:p>
        </w:tc>
      </w:tr>
      <w:tr>
        <w:tc>
          <w:tcPr>
            <w:tcW w:type="dxa" w:w="3744"/>
          </w:tcPr>
          <w:p>
            <w:pPr>
              <w:spacing w:after="20" w:before="20"/>
            </w:pPr>
            <w:r>
              <w:rPr>
                <w:rFonts w:ascii="Calibri" w:hAnsi="Calibri"/>
                <w:b w:val="0"/>
                <w:sz w:val="17"/>
              </w:rPr>
            </w:r>
            <w:r>
              <w:rPr>
                <w:rFonts w:ascii="Calibri" w:hAnsi="Calibri"/>
                <w:b w:val="0"/>
                <w:sz w:val="17"/>
              </w:rPr>
              <w:t>Regency Cakestand 3 Tier</w:t>
            </w:r>
          </w:p>
        </w:tc>
        <w:tc>
          <w:tcPr>
            <w:tcW w:type="dxa" w:w="1368"/>
          </w:tcPr>
          <w:p>
            <w:pPr>
              <w:spacing w:after="20" w:before="20"/>
              <w:jc w:val="right"/>
            </w:pPr>
            <w:r>
              <w:rPr>
                <w:rFonts w:ascii="Calibri" w:hAnsi="Calibri"/>
                <w:b w:val="0"/>
                <w:sz w:val="17"/>
              </w:rPr>
            </w:r>
            <w:r>
              <w:rPr>
                <w:rFonts w:ascii="Calibri" w:hAnsi="Calibri"/>
                <w:b w:val="0"/>
                <w:sz w:val="17"/>
              </w:rPr>
              <w:t>£16,724</w:t>
            </w:r>
          </w:p>
        </w:tc>
        <w:tc>
          <w:tcPr>
            <w:tcW w:type="dxa" w:w="1368"/>
          </w:tcPr>
          <w:p>
            <w:pPr>
              <w:spacing w:after="20" w:before="20"/>
              <w:jc w:val="right"/>
            </w:pPr>
            <w:r>
              <w:rPr>
                <w:rFonts w:ascii="Calibri" w:hAnsi="Calibri"/>
                <w:b w:val="0"/>
                <w:sz w:val="17"/>
              </w:rPr>
            </w:r>
            <w:r>
              <w:rPr>
                <w:rFonts w:ascii="Calibri" w:hAnsi="Calibri"/>
                <w:b w:val="0"/>
                <w:sz w:val="17"/>
              </w:rPr>
              <w:t>£344,069</w:t>
            </w:r>
          </w:p>
        </w:tc>
        <w:tc>
          <w:tcPr>
            <w:tcW w:type="dxa" w:w="1224"/>
          </w:tcPr>
          <w:p>
            <w:pPr>
              <w:spacing w:after="20" w:before="20"/>
              <w:jc w:val="right"/>
            </w:pPr>
            <w:r>
              <w:rPr>
                <w:rFonts w:ascii="Calibri" w:hAnsi="Calibri"/>
                <w:b w:val="0"/>
                <w:sz w:val="17"/>
              </w:rPr>
            </w:r>
            <w:r>
              <w:rPr>
                <w:rFonts w:ascii="Calibri" w:hAnsi="Calibri"/>
                <w:b w:val="0"/>
                <w:sz w:val="17"/>
              </w:rPr>
              <w:t>4.9%</w:t>
            </w:r>
          </w:p>
        </w:tc>
        <w:tc>
          <w:tcPr>
            <w:tcW w:type="dxa" w:w="1008"/>
          </w:tcPr>
          <w:p>
            <w:pPr>
              <w:spacing w:after="20" w:before="20"/>
              <w:jc w:val="right"/>
            </w:pPr>
            <w:r>
              <w:rPr>
                <w:rFonts w:ascii="Calibri" w:hAnsi="Calibri"/>
                <w:b w:val="0"/>
                <w:sz w:val="17"/>
              </w:rPr>
            </w:r>
            <w:r>
              <w:rPr>
                <w:rFonts w:ascii="Calibri" w:hAnsi="Calibri"/>
                <w:b w:val="0"/>
                <w:sz w:val="17"/>
              </w:rPr>
              <w:t>346</w:t>
            </w:r>
          </w:p>
        </w:tc>
      </w:tr>
      <w:tr>
        <w:tc>
          <w:tcPr>
            <w:tcW w:type="dxa" w:w="3744"/>
          </w:tcPr>
          <w:p>
            <w:pPr>
              <w:spacing w:after="20" w:before="20"/>
            </w:pPr>
            <w:r>
              <w:rPr>
                <w:rFonts w:ascii="Calibri" w:hAnsi="Calibri"/>
                <w:b w:val="0"/>
                <w:sz w:val="17"/>
              </w:rPr>
            </w:r>
            <w:r>
              <w:rPr>
                <w:rFonts w:ascii="Calibri" w:hAnsi="Calibri"/>
                <w:b w:val="0"/>
                <w:sz w:val="17"/>
              </w:rPr>
              <w:t>White Hanging Heart T-Light Holder</w:t>
            </w:r>
          </w:p>
        </w:tc>
        <w:tc>
          <w:tcPr>
            <w:tcW w:type="dxa" w:w="1368"/>
          </w:tcPr>
          <w:p>
            <w:pPr>
              <w:spacing w:after="20" w:before="20"/>
              <w:jc w:val="right"/>
            </w:pPr>
            <w:r>
              <w:rPr>
                <w:rFonts w:ascii="Calibri" w:hAnsi="Calibri"/>
                <w:b w:val="0"/>
                <w:sz w:val="17"/>
              </w:rPr>
            </w:r>
            <w:r>
              <w:rPr>
                <w:rFonts w:ascii="Calibri" w:hAnsi="Calibri"/>
                <w:b w:val="0"/>
                <w:sz w:val="17"/>
              </w:rPr>
              <w:t>£9,390</w:t>
            </w:r>
          </w:p>
        </w:tc>
        <w:tc>
          <w:tcPr>
            <w:tcW w:type="dxa" w:w="1368"/>
          </w:tcPr>
          <w:p>
            <w:pPr>
              <w:spacing w:after="20" w:before="20"/>
              <w:jc w:val="right"/>
            </w:pPr>
            <w:r>
              <w:rPr>
                <w:rFonts w:ascii="Calibri" w:hAnsi="Calibri"/>
                <w:b w:val="0"/>
                <w:sz w:val="17"/>
              </w:rPr>
            </w:r>
            <w:r>
              <w:rPr>
                <w:rFonts w:ascii="Calibri" w:hAnsi="Calibri"/>
                <w:b w:val="0"/>
                <w:sz w:val="17"/>
              </w:rPr>
              <w:t>£266,761</w:t>
            </w:r>
          </w:p>
        </w:tc>
        <w:tc>
          <w:tcPr>
            <w:tcW w:type="dxa" w:w="1224"/>
          </w:tcPr>
          <w:p>
            <w:pPr>
              <w:spacing w:after="20" w:before="20"/>
              <w:jc w:val="right"/>
            </w:pPr>
            <w:r>
              <w:rPr>
                <w:rFonts w:ascii="Calibri" w:hAnsi="Calibri"/>
                <w:b w:val="0"/>
                <w:sz w:val="17"/>
              </w:rPr>
            </w:r>
            <w:r>
              <w:rPr>
                <w:rFonts w:ascii="Calibri" w:hAnsi="Calibri"/>
                <w:b w:val="0"/>
                <w:sz w:val="17"/>
              </w:rPr>
              <w:t>3.5%</w:t>
            </w:r>
          </w:p>
        </w:tc>
        <w:tc>
          <w:tcPr>
            <w:tcW w:type="dxa" w:w="1008"/>
          </w:tcPr>
          <w:p>
            <w:pPr>
              <w:spacing w:after="20" w:before="20"/>
              <w:jc w:val="right"/>
            </w:pPr>
            <w:r>
              <w:rPr>
                <w:rFonts w:ascii="Calibri" w:hAnsi="Calibri"/>
                <w:b w:val="0"/>
                <w:sz w:val="17"/>
              </w:rPr>
            </w:r>
            <w:r>
              <w:rPr>
                <w:rFonts w:ascii="Calibri" w:hAnsi="Calibri"/>
                <w:b w:val="0"/>
                <w:sz w:val="17"/>
              </w:rPr>
              <w:t>135</w:t>
            </w:r>
          </w:p>
        </w:tc>
      </w:tr>
      <w:tr>
        <w:tc>
          <w:tcPr>
            <w:tcW w:type="dxa" w:w="3744"/>
          </w:tcPr>
          <w:p>
            <w:pPr>
              <w:spacing w:after="20" w:before="20"/>
            </w:pPr>
            <w:r>
              <w:rPr>
                <w:rFonts w:ascii="Calibri" w:hAnsi="Calibri"/>
                <w:b w:val="0"/>
                <w:sz w:val="17"/>
              </w:rPr>
            </w:r>
            <w:r>
              <w:rPr>
                <w:rFonts w:ascii="Calibri" w:hAnsi="Calibri"/>
                <w:b w:val="0"/>
                <w:sz w:val="17"/>
              </w:rPr>
              <w:t>Colour Glass. Star T-Light Holder</w:t>
            </w:r>
          </w:p>
        </w:tc>
        <w:tc>
          <w:tcPr>
            <w:tcW w:type="dxa" w:w="1368"/>
          </w:tcPr>
          <w:p>
            <w:pPr>
              <w:spacing w:after="20" w:before="20"/>
              <w:jc w:val="right"/>
            </w:pPr>
            <w:r>
              <w:rPr>
                <w:rFonts w:ascii="Calibri" w:hAnsi="Calibri"/>
                <w:b w:val="0"/>
                <w:sz w:val="17"/>
              </w:rPr>
            </w:r>
            <w:r>
              <w:rPr>
                <w:rFonts w:ascii="Calibri" w:hAnsi="Calibri"/>
                <w:b w:val="0"/>
                <w:sz w:val="17"/>
              </w:rPr>
              <w:t>£7,174</w:t>
            </w:r>
          </w:p>
        </w:tc>
        <w:tc>
          <w:tcPr>
            <w:tcW w:type="dxa" w:w="1368"/>
          </w:tcPr>
          <w:p>
            <w:pPr>
              <w:spacing w:after="20" w:before="20"/>
              <w:jc w:val="right"/>
            </w:pPr>
            <w:r>
              <w:rPr>
                <w:rFonts w:ascii="Calibri" w:hAnsi="Calibri"/>
                <w:b w:val="0"/>
                <w:sz w:val="17"/>
              </w:rPr>
            </w:r>
            <w:r>
              <w:rPr>
                <w:rFonts w:ascii="Calibri" w:hAnsi="Calibri"/>
                <w:b w:val="0"/>
                <w:sz w:val="17"/>
              </w:rPr>
              <w:t>£46,519</w:t>
            </w:r>
          </w:p>
        </w:tc>
        <w:tc>
          <w:tcPr>
            <w:tcW w:type="dxa" w:w="1224"/>
          </w:tcPr>
          <w:p>
            <w:pPr>
              <w:spacing w:after="20" w:before="20"/>
              <w:jc w:val="right"/>
            </w:pPr>
            <w:r>
              <w:rPr>
                <w:rFonts w:ascii="Calibri" w:hAnsi="Calibri"/>
                <w:b w:val="0"/>
                <w:sz w:val="17"/>
              </w:rPr>
            </w:r>
            <w:r>
              <w:rPr>
                <w:rFonts w:ascii="Calibri" w:hAnsi="Calibri"/>
                <w:b w:val="0"/>
                <w:sz w:val="17"/>
              </w:rPr>
              <w:t>15.4%</w:t>
            </w:r>
          </w:p>
        </w:tc>
        <w:tc>
          <w:tcPr>
            <w:tcW w:type="dxa" w:w="1008"/>
          </w:tcPr>
          <w:p>
            <w:pPr>
              <w:spacing w:after="20" w:before="20"/>
              <w:jc w:val="right"/>
            </w:pPr>
            <w:r>
              <w:rPr>
                <w:rFonts w:ascii="Calibri" w:hAnsi="Calibri"/>
                <w:b w:val="0"/>
                <w:sz w:val="17"/>
              </w:rPr>
            </w:r>
            <w:r>
              <w:rPr>
                <w:rFonts w:ascii="Calibri" w:hAnsi="Calibri"/>
                <w:b w:val="0"/>
                <w:sz w:val="17"/>
              </w:rPr>
              <w:t>70</w:t>
            </w:r>
          </w:p>
        </w:tc>
      </w:tr>
      <w:tr>
        <w:tc>
          <w:tcPr>
            <w:tcW w:type="dxa" w:w="3744"/>
          </w:tcPr>
          <w:p>
            <w:pPr>
              <w:spacing w:after="20" w:before="20"/>
            </w:pPr>
            <w:r>
              <w:rPr>
                <w:rFonts w:ascii="Calibri" w:hAnsi="Calibri"/>
                <w:b w:val="0"/>
                <w:sz w:val="17"/>
              </w:rPr>
            </w:r>
            <w:r>
              <w:rPr>
                <w:rFonts w:ascii="Calibri" w:hAnsi="Calibri"/>
                <w:b w:val="0"/>
                <w:sz w:val="17"/>
              </w:rPr>
              <w:t>Fairy Cake Flannel Assorted Colour</w:t>
            </w:r>
          </w:p>
        </w:tc>
        <w:tc>
          <w:tcPr>
            <w:tcW w:type="dxa" w:w="1368"/>
          </w:tcPr>
          <w:p>
            <w:pPr>
              <w:spacing w:after="20" w:before="20"/>
              <w:jc w:val="right"/>
            </w:pPr>
            <w:r>
              <w:rPr>
                <w:rFonts w:ascii="Calibri" w:hAnsi="Calibri"/>
                <w:b w:val="0"/>
                <w:sz w:val="17"/>
              </w:rPr>
            </w:r>
            <w:r>
              <w:rPr>
                <w:rFonts w:ascii="Calibri" w:hAnsi="Calibri"/>
                <w:b w:val="0"/>
                <w:sz w:val="17"/>
              </w:rPr>
              <w:t>£6,614</w:t>
            </w:r>
          </w:p>
        </w:tc>
        <w:tc>
          <w:tcPr>
            <w:tcW w:type="dxa" w:w="1368"/>
          </w:tcPr>
          <w:p>
            <w:pPr>
              <w:spacing w:after="20" w:before="20"/>
              <w:jc w:val="right"/>
            </w:pPr>
            <w:r>
              <w:rPr>
                <w:rFonts w:ascii="Calibri" w:hAnsi="Calibri"/>
                <w:b w:val="0"/>
                <w:sz w:val="17"/>
              </w:rPr>
            </w:r>
            <w:r>
              <w:rPr>
                <w:rFonts w:ascii="Calibri" w:hAnsi="Calibri"/>
                <w:b w:val="0"/>
                <w:sz w:val="17"/>
              </w:rPr>
              <w:t>£25,859</w:t>
            </w:r>
          </w:p>
        </w:tc>
        <w:tc>
          <w:tcPr>
            <w:tcW w:type="dxa" w:w="1224"/>
          </w:tcPr>
          <w:p>
            <w:pPr>
              <w:spacing w:after="20" w:before="20"/>
              <w:jc w:val="right"/>
            </w:pPr>
            <w:r>
              <w:rPr>
                <w:rFonts w:ascii="Calibri" w:hAnsi="Calibri"/>
                <w:b w:val="0"/>
                <w:sz w:val="17"/>
              </w:rPr>
            </w:r>
            <w:r>
              <w:rPr>
                <w:rFonts w:ascii="Calibri" w:hAnsi="Calibri"/>
                <w:b w:val="0"/>
                <w:sz w:val="17"/>
              </w:rPr>
              <w:t>25.6%</w:t>
            </w:r>
          </w:p>
        </w:tc>
        <w:tc>
          <w:tcPr>
            <w:tcW w:type="dxa" w:w="1008"/>
          </w:tcPr>
          <w:p>
            <w:pPr>
              <w:spacing w:after="20" w:before="20"/>
              <w:jc w:val="right"/>
            </w:pPr>
            <w:r>
              <w:rPr>
                <w:rFonts w:ascii="Calibri" w:hAnsi="Calibri"/>
                <w:b w:val="0"/>
                <w:sz w:val="17"/>
              </w:rPr>
            </w:r>
            <w:r>
              <w:rPr>
                <w:rFonts w:ascii="Calibri" w:hAnsi="Calibri"/>
                <w:b w:val="0"/>
                <w:sz w:val="17"/>
              </w:rPr>
              <w:t>4</w:t>
            </w:r>
          </w:p>
        </w:tc>
      </w:tr>
      <w:tr>
        <w:tc>
          <w:tcPr>
            <w:tcW w:type="dxa" w:w="3744"/>
          </w:tcPr>
          <w:p>
            <w:pPr>
              <w:spacing w:after="20" w:before="20"/>
            </w:pPr>
            <w:r>
              <w:rPr>
                <w:rFonts w:ascii="Calibri" w:hAnsi="Calibri"/>
                <w:b w:val="0"/>
                <w:sz w:val="17"/>
              </w:rPr>
            </w:r>
            <w:r>
              <w:rPr>
                <w:rFonts w:ascii="Calibri" w:hAnsi="Calibri"/>
                <w:b w:val="0"/>
                <w:sz w:val="17"/>
              </w:rPr>
              <w:t>White Cherry Lights</w:t>
            </w:r>
          </w:p>
        </w:tc>
        <w:tc>
          <w:tcPr>
            <w:tcW w:type="dxa" w:w="1368"/>
          </w:tcPr>
          <w:p>
            <w:pPr>
              <w:spacing w:after="20" w:before="20"/>
              <w:jc w:val="right"/>
            </w:pPr>
            <w:r>
              <w:rPr>
                <w:rFonts w:ascii="Calibri" w:hAnsi="Calibri"/>
                <w:b w:val="0"/>
                <w:sz w:val="17"/>
              </w:rPr>
            </w:r>
            <w:r>
              <w:rPr>
                <w:rFonts w:ascii="Calibri" w:hAnsi="Calibri"/>
                <w:b w:val="0"/>
                <w:sz w:val="17"/>
              </w:rPr>
              <w:t>£6,421</w:t>
            </w:r>
          </w:p>
        </w:tc>
        <w:tc>
          <w:tcPr>
            <w:tcW w:type="dxa" w:w="1368"/>
          </w:tcPr>
          <w:p>
            <w:pPr>
              <w:spacing w:after="20" w:before="20"/>
              <w:jc w:val="right"/>
            </w:pPr>
            <w:r>
              <w:rPr>
                <w:rFonts w:ascii="Calibri" w:hAnsi="Calibri"/>
                <w:b w:val="0"/>
                <w:sz w:val="17"/>
              </w:rPr>
            </w:r>
            <w:r>
              <w:rPr>
                <w:rFonts w:ascii="Calibri" w:hAnsi="Calibri"/>
                <w:b w:val="0"/>
                <w:sz w:val="17"/>
              </w:rPr>
              <w:t>£18,049</w:t>
            </w:r>
          </w:p>
        </w:tc>
        <w:tc>
          <w:tcPr>
            <w:tcW w:type="dxa" w:w="1224"/>
          </w:tcPr>
          <w:p>
            <w:pPr>
              <w:spacing w:after="20" w:before="20"/>
              <w:jc w:val="right"/>
            </w:pPr>
            <w:r>
              <w:rPr>
                <w:rFonts w:ascii="Calibri" w:hAnsi="Calibri"/>
                <w:b w:val="0"/>
                <w:sz w:val="17"/>
              </w:rPr>
            </w:r>
            <w:r>
              <w:rPr>
                <w:rFonts w:ascii="Calibri" w:hAnsi="Calibri"/>
                <w:b w:val="0"/>
                <w:sz w:val="17"/>
              </w:rPr>
              <w:t>35.6%</w:t>
            </w:r>
          </w:p>
        </w:tc>
        <w:tc>
          <w:tcPr>
            <w:tcW w:type="dxa" w:w="1008"/>
          </w:tcPr>
          <w:p>
            <w:pPr>
              <w:spacing w:after="20" w:before="20"/>
              <w:jc w:val="right"/>
            </w:pPr>
            <w:r>
              <w:rPr>
                <w:rFonts w:ascii="Calibri" w:hAnsi="Calibri"/>
                <w:b w:val="0"/>
                <w:sz w:val="17"/>
              </w:rPr>
            </w:r>
            <w:r>
              <w:rPr>
                <w:rFonts w:ascii="Calibri" w:hAnsi="Calibri"/>
                <w:b w:val="0"/>
                <w:sz w:val="17"/>
              </w:rPr>
              <w:t>126</w:t>
            </w:r>
          </w:p>
        </w:tc>
      </w:tr>
      <w:tr>
        <w:tc>
          <w:tcPr>
            <w:tcW w:type="dxa" w:w="3744"/>
          </w:tcPr>
          <w:p>
            <w:pPr>
              <w:spacing w:after="20" w:before="20"/>
            </w:pPr>
            <w:r>
              <w:rPr>
                <w:rFonts w:ascii="Calibri" w:hAnsi="Calibri"/>
                <w:b w:val="0"/>
                <w:sz w:val="17"/>
              </w:rPr>
            </w:r>
            <w:r>
              <w:rPr>
                <w:rFonts w:ascii="Calibri" w:hAnsi="Calibri"/>
                <w:b w:val="0"/>
                <w:sz w:val="17"/>
              </w:rPr>
              <w:t>Red Retrospot Cake Stand</w:t>
            </w:r>
          </w:p>
        </w:tc>
        <w:tc>
          <w:tcPr>
            <w:tcW w:type="dxa" w:w="1368"/>
          </w:tcPr>
          <w:p>
            <w:pPr>
              <w:spacing w:after="20" w:before="20"/>
              <w:jc w:val="right"/>
            </w:pPr>
            <w:r>
              <w:rPr>
                <w:rFonts w:ascii="Calibri" w:hAnsi="Calibri"/>
                <w:b w:val="0"/>
                <w:sz w:val="17"/>
              </w:rPr>
            </w:r>
            <w:r>
              <w:rPr>
                <w:rFonts w:ascii="Calibri" w:hAnsi="Calibri"/>
                <w:b w:val="0"/>
                <w:sz w:val="17"/>
              </w:rPr>
              <w:t>£5,402</w:t>
            </w:r>
          </w:p>
        </w:tc>
        <w:tc>
          <w:tcPr>
            <w:tcW w:type="dxa" w:w="1368"/>
          </w:tcPr>
          <w:p>
            <w:pPr>
              <w:spacing w:after="20" w:before="20"/>
              <w:jc w:val="right"/>
            </w:pPr>
            <w:r>
              <w:rPr>
                <w:rFonts w:ascii="Calibri" w:hAnsi="Calibri"/>
                <w:b w:val="0"/>
                <w:sz w:val="17"/>
              </w:rPr>
            </w:r>
            <w:r>
              <w:rPr>
                <w:rFonts w:ascii="Calibri" w:hAnsi="Calibri"/>
                <w:b w:val="0"/>
                <w:sz w:val="17"/>
              </w:rPr>
              <w:t>£66,349</w:t>
            </w:r>
          </w:p>
        </w:tc>
        <w:tc>
          <w:tcPr>
            <w:tcW w:type="dxa" w:w="1224"/>
          </w:tcPr>
          <w:p>
            <w:pPr>
              <w:spacing w:after="20" w:before="20"/>
              <w:jc w:val="right"/>
            </w:pPr>
            <w:r>
              <w:rPr>
                <w:rFonts w:ascii="Calibri" w:hAnsi="Calibri"/>
                <w:b w:val="0"/>
                <w:sz w:val="17"/>
              </w:rPr>
            </w:r>
            <w:r>
              <w:rPr>
                <w:rFonts w:ascii="Calibri" w:hAnsi="Calibri"/>
                <w:b w:val="0"/>
                <w:sz w:val="17"/>
              </w:rPr>
              <w:t>8.1%</w:t>
            </w:r>
          </w:p>
        </w:tc>
        <w:tc>
          <w:tcPr>
            <w:tcW w:type="dxa" w:w="1008"/>
          </w:tcPr>
          <w:p>
            <w:pPr>
              <w:spacing w:after="20" w:before="20"/>
              <w:jc w:val="right"/>
            </w:pPr>
            <w:r>
              <w:rPr>
                <w:rFonts w:ascii="Calibri" w:hAnsi="Calibri"/>
                <w:b w:val="0"/>
                <w:sz w:val="17"/>
              </w:rPr>
            </w:r>
            <w:r>
              <w:rPr>
                <w:rFonts w:ascii="Calibri" w:hAnsi="Calibri"/>
                <w:b w:val="0"/>
                <w:sz w:val="17"/>
              </w:rPr>
              <w:t>159</w:t>
            </w:r>
          </w:p>
        </w:tc>
      </w:tr>
      <w:tr>
        <w:tc>
          <w:tcPr>
            <w:tcW w:type="dxa" w:w="3744"/>
          </w:tcPr>
          <w:p>
            <w:pPr>
              <w:spacing w:after="20" w:before="20"/>
            </w:pPr>
            <w:r>
              <w:rPr>
                <w:rFonts w:ascii="Calibri" w:hAnsi="Calibri"/>
                <w:b w:val="0"/>
                <w:sz w:val="17"/>
              </w:rPr>
            </w:r>
            <w:r>
              <w:rPr>
                <w:rFonts w:ascii="Calibri" w:hAnsi="Calibri"/>
                <w:b w:val="0"/>
                <w:sz w:val="17"/>
              </w:rPr>
              <w:t>Set/4 White Retro Storage Cubes</w:t>
            </w:r>
          </w:p>
        </w:tc>
        <w:tc>
          <w:tcPr>
            <w:tcW w:type="dxa" w:w="1368"/>
          </w:tcPr>
          <w:p>
            <w:pPr>
              <w:spacing w:after="20" w:before="20"/>
              <w:jc w:val="right"/>
            </w:pPr>
            <w:r>
              <w:rPr>
                <w:rFonts w:ascii="Calibri" w:hAnsi="Calibri"/>
                <w:b w:val="0"/>
                <w:sz w:val="17"/>
              </w:rPr>
            </w:r>
            <w:r>
              <w:rPr>
                <w:rFonts w:ascii="Calibri" w:hAnsi="Calibri"/>
                <w:b w:val="0"/>
                <w:sz w:val="17"/>
              </w:rPr>
              <w:t>£5,188</w:t>
            </w:r>
          </w:p>
        </w:tc>
        <w:tc>
          <w:tcPr>
            <w:tcW w:type="dxa" w:w="1368"/>
          </w:tcPr>
          <w:p>
            <w:pPr>
              <w:spacing w:after="20" w:before="20"/>
              <w:jc w:val="right"/>
            </w:pPr>
            <w:r>
              <w:rPr>
                <w:rFonts w:ascii="Calibri" w:hAnsi="Calibri"/>
                <w:b w:val="0"/>
                <w:sz w:val="17"/>
              </w:rPr>
            </w:r>
            <w:r>
              <w:rPr>
                <w:rFonts w:ascii="Calibri" w:hAnsi="Calibri"/>
                <w:b w:val="0"/>
                <w:sz w:val="17"/>
              </w:rPr>
              <w:t>£43,922</w:t>
            </w:r>
          </w:p>
        </w:tc>
        <w:tc>
          <w:tcPr>
            <w:tcW w:type="dxa" w:w="1224"/>
          </w:tcPr>
          <w:p>
            <w:pPr>
              <w:spacing w:after="20" w:before="20"/>
              <w:jc w:val="right"/>
            </w:pPr>
            <w:r>
              <w:rPr>
                <w:rFonts w:ascii="Calibri" w:hAnsi="Calibri"/>
                <w:b w:val="0"/>
                <w:sz w:val="17"/>
              </w:rPr>
            </w:r>
            <w:r>
              <w:rPr>
                <w:rFonts w:ascii="Calibri" w:hAnsi="Calibri"/>
                <w:b w:val="0"/>
                <w:sz w:val="17"/>
              </w:rPr>
              <w:t>11.8%</w:t>
            </w:r>
          </w:p>
        </w:tc>
        <w:tc>
          <w:tcPr>
            <w:tcW w:type="dxa" w:w="1008"/>
          </w:tcPr>
          <w:p>
            <w:pPr>
              <w:spacing w:after="20" w:before="20"/>
              <w:jc w:val="right"/>
            </w:pPr>
            <w:r>
              <w:rPr>
                <w:rFonts w:ascii="Calibri" w:hAnsi="Calibri"/>
                <w:b w:val="0"/>
                <w:sz w:val="17"/>
              </w:rPr>
            </w:r>
            <w:r>
              <w:rPr>
                <w:rFonts w:ascii="Calibri" w:hAnsi="Calibri"/>
                <w:b w:val="0"/>
                <w:sz w:val="17"/>
              </w:rPr>
              <w:t>20</w:t>
            </w:r>
          </w:p>
        </w:tc>
      </w:tr>
      <w:tr>
        <w:tc>
          <w:tcPr>
            <w:tcW w:type="dxa" w:w="3744"/>
          </w:tcPr>
          <w:p>
            <w:pPr>
              <w:spacing w:after="20" w:before="20"/>
            </w:pPr>
            <w:r>
              <w:rPr>
                <w:rFonts w:ascii="Calibri" w:hAnsi="Calibri"/>
                <w:b w:val="0"/>
                <w:sz w:val="17"/>
              </w:rPr>
            </w:r>
            <w:r>
              <w:rPr>
                <w:rFonts w:ascii="Calibri" w:hAnsi="Calibri"/>
                <w:b w:val="0"/>
                <w:sz w:val="17"/>
              </w:rPr>
              <w:t>Pantry Chopping Board</w:t>
            </w:r>
          </w:p>
        </w:tc>
        <w:tc>
          <w:tcPr>
            <w:tcW w:type="dxa" w:w="1368"/>
          </w:tcPr>
          <w:p>
            <w:pPr>
              <w:spacing w:after="20" w:before="20"/>
              <w:jc w:val="right"/>
            </w:pPr>
            <w:r>
              <w:rPr>
                <w:rFonts w:ascii="Calibri" w:hAnsi="Calibri"/>
                <w:b w:val="0"/>
                <w:sz w:val="17"/>
              </w:rPr>
            </w:r>
            <w:r>
              <w:rPr>
                <w:rFonts w:ascii="Calibri" w:hAnsi="Calibri"/>
                <w:b w:val="0"/>
                <w:sz w:val="17"/>
              </w:rPr>
              <w:t>£4,803</w:t>
            </w:r>
          </w:p>
        </w:tc>
        <w:tc>
          <w:tcPr>
            <w:tcW w:type="dxa" w:w="1368"/>
          </w:tcPr>
          <w:p>
            <w:pPr>
              <w:spacing w:after="20" w:before="20"/>
              <w:jc w:val="right"/>
            </w:pPr>
            <w:r>
              <w:rPr>
                <w:rFonts w:ascii="Calibri" w:hAnsi="Calibri"/>
                <w:b w:val="0"/>
                <w:sz w:val="17"/>
              </w:rPr>
            </w:r>
            <w:r>
              <w:rPr>
                <w:rFonts w:ascii="Calibri" w:hAnsi="Calibri"/>
                <w:b w:val="0"/>
                <w:sz w:val="17"/>
              </w:rPr>
              <w:t>£5,868</w:t>
            </w:r>
          </w:p>
        </w:tc>
        <w:tc>
          <w:tcPr>
            <w:tcW w:type="dxa" w:w="1224"/>
          </w:tcPr>
          <w:p>
            <w:pPr>
              <w:spacing w:after="20" w:before="20"/>
              <w:jc w:val="right"/>
            </w:pPr>
            <w:r>
              <w:rPr>
                <w:rFonts w:ascii="Calibri" w:hAnsi="Calibri"/>
                <w:b w:val="0"/>
                <w:sz w:val="17"/>
              </w:rPr>
            </w:r>
            <w:r>
              <w:rPr>
                <w:rFonts w:ascii="Calibri" w:hAnsi="Calibri"/>
                <w:b w:val="0"/>
                <w:sz w:val="17"/>
              </w:rPr>
              <w:t>81.8%</w:t>
            </w:r>
          </w:p>
        </w:tc>
        <w:tc>
          <w:tcPr>
            <w:tcW w:type="dxa" w:w="1008"/>
          </w:tcPr>
          <w:p>
            <w:pPr>
              <w:spacing w:after="20" w:before="20"/>
              <w:jc w:val="right"/>
            </w:pPr>
            <w:r>
              <w:rPr>
                <w:rFonts w:ascii="Calibri" w:hAnsi="Calibri"/>
                <w:b w:val="0"/>
                <w:sz w:val="17"/>
              </w:rPr>
            </w:r>
            <w:r>
              <w:rPr>
                <w:rFonts w:ascii="Calibri" w:hAnsi="Calibri"/>
                <w:b w:val="0"/>
                <w:sz w:val="17"/>
              </w:rPr>
              <w:t>6</w:t>
            </w:r>
          </w:p>
        </w:tc>
      </w:tr>
    </w:tbl>
    <w:p/>
    <w:p>
      <w:r>
        <w:rPr>
          <w:b w:val="0"/>
          <w:i w:val="0"/>
        </w:rPr>
        <w:t xml:space="preserve">Tracing the largest of those lines produces the most consequential single finding in the project. </w:t>
      </w:r>
      <w:r>
        <w:rPr>
          <w:b/>
          <w:i w:val="0"/>
        </w:rPr>
        <w:t>80,995 units of Paper Craft , Little Birdie, worth £168,469.60, were cancelled 12 minutes after the invoice was raised</w:t>
      </w:r>
      <w:r>
        <w:rPr>
          <w:b w:val="0"/>
          <w:i w:val="0"/>
        </w:rPr>
        <w:t xml:space="preserve"> - net contribution £0.00. The second-largest line in the file is the same story: </w:t>
      </w:r>
      <w:r>
        <w:rPr>
          <w:b/>
          <w:i w:val="0"/>
        </w:rPr>
        <w:t>74,215 units of Medium Ceramic Top Storage Jar, worth £77,183.60, also cancelled.</w:t>
      </w:r>
      <w:r>
        <w:rPr>
          <w:b w:val="0"/>
          <w:i w:val="0"/>
        </w:rPr>
        <w:t xml:space="preserve"> The two largest sales in the dataset were never sales.</w:t>
      </w:r>
    </w:p>
    <w:p>
      <w:r>
        <w:rPr>
          <w:b w:val="0"/>
          <w:i w:val="0"/>
        </w:rPr>
        <w:t xml:space="preserve">The consequence is not academic. Ranked on gross revenue Paper Craft , Little Birdie is the retailer's </w:t>
      </w:r>
      <w:r>
        <w:rPr>
          <w:b/>
          <w:i w:val="0"/>
        </w:rPr>
        <w:t>4th</w:t>
      </w:r>
      <w:r>
        <w:rPr>
          <w:b w:val="0"/>
          <w:i w:val="0"/>
        </w:rPr>
        <w:t xml:space="preserve"> best seller; ranked net of cancellations it is </w:t>
      </w:r>
      <w:r>
        <w:rPr>
          <w:b/>
          <w:i w:val="0"/>
        </w:rPr>
        <w:t>4,711th</w:t>
      </w:r>
      <w:r>
        <w:rPr>
          <w:b w:val="0"/>
          <w:i w:val="0"/>
        </w:rPr>
        <w:t xml:space="preserve">. Medium Ceramic Top Storage Jar moves from 9th to 1,032nd. </w:t>
      </w:r>
      <w:r>
        <w:rPr>
          <w:b/>
          <w:i w:val="0"/>
        </w:rPr>
        <w:t>7 of the top ten products change position once returns are netted off.</w:t>
      </w:r>
      <w:r>
        <w:rPr>
          <w:b w:val="0"/>
          <w:i w:val="0"/>
        </w:rPr>
        <w:t xml:space="preserve"> Any product report built on gross sales is materially wrong at the top of the table. The most-returned table above shows the other half of the same event: medium ceramic top storage jar carries £77,479.64 returned against £81,700.92 sold, a 94.8% return rate over 10 lines.</w:t>
      </w:r>
    </w:p>
    <w:p>
      <w:pPr>
        <w:pStyle w:val="Heading2"/>
      </w:pPr>
      <w:r>
        <w:t>7.8  How concentrated the customer base is</w:t>
      </w:r>
    </w:p>
    <w:p>
      <w:pPr>
        <w:spacing w:after="40"/>
        <w:jc w:val="center"/>
      </w:pPr>
      <w:r>
        <w:drawing>
          <wp:inline xmlns:a="http://schemas.openxmlformats.org/drawingml/2006/main" xmlns:pic="http://schemas.openxmlformats.org/drawingml/2006/picture">
            <wp:extent cx="5623560" cy="3402342"/>
            <wp:docPr id="8" name="Picture 8"/>
            <wp:cNvGraphicFramePr>
              <a:graphicFrameLocks noChangeAspect="1"/>
            </wp:cNvGraphicFramePr>
            <a:graphic>
              <a:graphicData uri="http://schemas.openxmlformats.org/drawingml/2006/picture">
                <pic:pic>
                  <pic:nvPicPr>
                    <pic:cNvPr id="0" name="08_pareto.png"/>
                    <pic:cNvPicPr/>
                  </pic:nvPicPr>
                  <pic:blipFill>
                    <a:blip r:embed="rId17"/>
                    <a:stretch>
                      <a:fillRect/>
                    </a:stretch>
                  </pic:blipFill>
                  <pic:spPr>
                    <a:xfrm>
                      <a:off x="0" y="0"/>
                      <a:ext cx="5623560" cy="3402342"/>
                    </a:xfrm>
                    <a:prstGeom prst="rect"/>
                  </pic:spPr>
                </pic:pic>
              </a:graphicData>
            </a:graphic>
          </wp:inline>
        </w:drawing>
      </w:r>
    </w:p>
    <w:p>
      <w:pPr>
        <w:spacing w:before="40" w:after="240"/>
        <w:jc w:val="center"/>
      </w:pPr>
      <w:r>
        <w:rPr>
          <w:b w:val="0"/>
          <w:i/>
          <w:color w:val="77776F"/>
          <w:sz w:val="17"/>
        </w:rPr>
        <w:t>Figure 8. Cumulative share of revenue against cumulative share of customers, ranked by spend.</w:t>
      </w:r>
    </w:p>
    <w:p>
      <w:pPr>
        <w:spacing w:before="40" w:after="40"/>
        <w:jc w:val="left"/>
      </w:pPr>
      <w:r>
        <w:rPr>
          <w:b w:val="0"/>
          <w:i/>
          <w:color w:val="77776F"/>
          <w:sz w:val="17"/>
        </w:rPr>
        <w:t>Table 10. Revenue concentration among identified customers.</w:t>
      </w:r>
    </w:p>
    <w:tbl>
      <w:tblPr>
        <w:tblStyle w:val="LightGrid-Accent1"/>
        <w:tblW w:type="auto" w:w="0"/>
        <w:jc w:val="center"/>
        <w:tblLayout w:type="fixed"/>
        <w:tblLook w:firstColumn="1" w:firstRow="1" w:lastColumn="0" w:lastRow="0" w:noHBand="0" w:noVBand="1" w:val="04A0"/>
      </w:tblPr>
      <w:tblGrid>
        <w:gridCol w:w="3137"/>
        <w:gridCol w:w="3137"/>
        <w:gridCol w:w="3137"/>
      </w:tblGrid>
      <w:tr>
        <w:tc>
          <w:tcPr>
            <w:tcW w:type="dxa" w:w="2880"/>
          </w:tcPr>
          <w:p>
            <w:pPr>
              <w:spacing w:after="20" w:before="20"/>
            </w:pPr>
            <w:r>
              <w:rPr>
                <w:rFonts w:ascii="Calibri" w:hAnsi="Calibri"/>
                <w:b/>
                <w:sz w:val="19"/>
              </w:rPr>
            </w:r>
            <w:r>
              <w:rPr>
                <w:rFonts w:ascii="Calibri" w:hAnsi="Calibri"/>
                <w:b/>
                <w:sz w:val="19"/>
              </w:rPr>
              <w:t>Customer group</w:t>
            </w:r>
          </w:p>
        </w:tc>
        <w:tc>
          <w:tcPr>
            <w:tcW w:type="dxa" w:w="2880"/>
          </w:tcPr>
          <w:p>
            <w:pPr>
              <w:spacing w:after="20" w:before="20"/>
              <w:jc w:val="right"/>
            </w:pPr>
            <w:r>
              <w:rPr>
                <w:rFonts w:ascii="Calibri" w:hAnsi="Calibri"/>
                <w:b/>
                <w:sz w:val="19"/>
              </w:rPr>
            </w:r>
            <w:r>
              <w:rPr>
                <w:rFonts w:ascii="Calibri" w:hAnsi="Calibri"/>
                <w:b/>
                <w:sz w:val="19"/>
              </w:rPr>
              <w:t>Customers</w:t>
            </w:r>
          </w:p>
        </w:tc>
        <w:tc>
          <w:tcPr>
            <w:tcW w:type="dxa" w:w="3096"/>
          </w:tcPr>
          <w:p>
            <w:pPr>
              <w:spacing w:after="20" w:before="20"/>
              <w:jc w:val="right"/>
            </w:pPr>
            <w:r>
              <w:rPr>
                <w:rFonts w:ascii="Calibri" w:hAnsi="Calibri"/>
                <w:b/>
                <w:sz w:val="19"/>
              </w:rPr>
            </w:r>
            <w:r>
              <w:rPr>
                <w:rFonts w:ascii="Calibri" w:hAnsi="Calibri"/>
                <w:b/>
                <w:sz w:val="19"/>
              </w:rPr>
              <w:t>Share of identified revenue</w:t>
            </w:r>
          </w:p>
        </w:tc>
      </w:tr>
      <w:tr>
        <w:tc>
          <w:tcPr>
            <w:tcW w:type="dxa" w:w="2880"/>
          </w:tcPr>
          <w:p>
            <w:pPr>
              <w:spacing w:after="20" w:before="20"/>
            </w:pPr>
            <w:r>
              <w:rPr>
                <w:rFonts w:ascii="Calibri" w:hAnsi="Calibri"/>
                <w:b w:val="0"/>
                <w:sz w:val="19"/>
              </w:rPr>
            </w:r>
            <w:r>
              <w:rPr>
                <w:rFonts w:ascii="Calibri" w:hAnsi="Calibri"/>
                <w:b w:val="0"/>
                <w:sz w:val="19"/>
              </w:rPr>
              <w:t>Top 1%</w:t>
            </w:r>
          </w:p>
        </w:tc>
        <w:tc>
          <w:tcPr>
            <w:tcW w:type="dxa" w:w="2880"/>
          </w:tcPr>
          <w:p>
            <w:pPr>
              <w:spacing w:after="20" w:before="20"/>
              <w:jc w:val="right"/>
            </w:pPr>
            <w:r>
              <w:rPr>
                <w:rFonts w:ascii="Calibri" w:hAnsi="Calibri"/>
                <w:b w:val="0"/>
                <w:sz w:val="19"/>
              </w:rPr>
            </w:r>
            <w:r>
              <w:rPr>
                <w:rFonts w:ascii="Calibri" w:hAnsi="Calibri"/>
                <w:b w:val="0"/>
                <w:sz w:val="19"/>
              </w:rPr>
              <w:t>58</w:t>
            </w:r>
          </w:p>
        </w:tc>
        <w:tc>
          <w:tcPr>
            <w:tcW w:type="dxa" w:w="3096"/>
          </w:tcPr>
          <w:p>
            <w:pPr>
              <w:spacing w:after="20" w:before="20"/>
              <w:jc w:val="right"/>
            </w:pPr>
            <w:r>
              <w:rPr>
                <w:rFonts w:ascii="Calibri" w:hAnsi="Calibri"/>
                <w:b w:val="0"/>
                <w:sz w:val="19"/>
              </w:rPr>
            </w:r>
            <w:r>
              <w:rPr>
                <w:rFonts w:ascii="Calibri" w:hAnsi="Calibri"/>
                <w:b w:val="0"/>
                <w:sz w:val="19"/>
              </w:rPr>
              <w:t>31.9%</w:t>
            </w:r>
          </w:p>
        </w:tc>
      </w:tr>
      <w:tr>
        <w:tc>
          <w:tcPr>
            <w:tcW w:type="dxa" w:w="2880"/>
          </w:tcPr>
          <w:p>
            <w:pPr>
              <w:spacing w:after="20" w:before="20"/>
            </w:pPr>
            <w:r>
              <w:rPr>
                <w:rFonts w:ascii="Calibri" w:hAnsi="Calibri"/>
                <w:b w:val="0"/>
                <w:sz w:val="19"/>
              </w:rPr>
            </w:r>
            <w:r>
              <w:rPr>
                <w:rFonts w:ascii="Calibri" w:hAnsi="Calibri"/>
                <w:b w:val="0"/>
                <w:sz w:val="19"/>
              </w:rPr>
              <w:t>Top 5%</w:t>
            </w:r>
          </w:p>
        </w:tc>
        <w:tc>
          <w:tcPr>
            <w:tcW w:type="dxa" w:w="2880"/>
          </w:tcPr>
          <w:p>
            <w:pPr>
              <w:spacing w:after="20" w:before="20"/>
              <w:jc w:val="right"/>
            </w:pPr>
            <w:r>
              <w:rPr>
                <w:rFonts w:ascii="Calibri" w:hAnsi="Calibri"/>
                <w:b w:val="0"/>
                <w:sz w:val="19"/>
              </w:rPr>
            </w:r>
            <w:r>
              <w:rPr>
                <w:rFonts w:ascii="Calibri" w:hAnsi="Calibri"/>
                <w:b w:val="0"/>
                <w:sz w:val="19"/>
              </w:rPr>
              <w:t>292</w:t>
            </w:r>
          </w:p>
        </w:tc>
        <w:tc>
          <w:tcPr>
            <w:tcW w:type="dxa" w:w="3096"/>
          </w:tcPr>
          <w:p>
            <w:pPr>
              <w:spacing w:after="20" w:before="20"/>
              <w:jc w:val="right"/>
            </w:pPr>
            <w:r>
              <w:rPr>
                <w:rFonts w:ascii="Calibri" w:hAnsi="Calibri"/>
                <w:b w:val="0"/>
                <w:sz w:val="19"/>
              </w:rPr>
            </w:r>
            <w:r>
              <w:rPr>
                <w:rFonts w:ascii="Calibri" w:hAnsi="Calibri"/>
                <w:b w:val="0"/>
                <w:sz w:val="19"/>
              </w:rPr>
              <w:t>52.0%</w:t>
            </w:r>
          </w:p>
        </w:tc>
      </w:tr>
      <w:tr>
        <w:tc>
          <w:tcPr>
            <w:tcW w:type="dxa" w:w="2880"/>
          </w:tcPr>
          <w:p>
            <w:pPr>
              <w:spacing w:after="20" w:before="20"/>
            </w:pPr>
            <w:r>
              <w:rPr>
                <w:rFonts w:ascii="Calibri" w:hAnsi="Calibri"/>
                <w:b w:val="0"/>
                <w:sz w:val="19"/>
              </w:rPr>
            </w:r>
            <w:r>
              <w:rPr>
                <w:rFonts w:ascii="Calibri" w:hAnsi="Calibri"/>
                <w:b w:val="0"/>
                <w:sz w:val="19"/>
              </w:rPr>
              <w:t>Top 10%</w:t>
            </w:r>
          </w:p>
        </w:tc>
        <w:tc>
          <w:tcPr>
            <w:tcW w:type="dxa" w:w="2880"/>
          </w:tcPr>
          <w:p>
            <w:pPr>
              <w:spacing w:after="20" w:before="20"/>
              <w:jc w:val="right"/>
            </w:pPr>
            <w:r>
              <w:rPr>
                <w:rFonts w:ascii="Calibri" w:hAnsi="Calibri"/>
                <w:b w:val="0"/>
                <w:sz w:val="19"/>
              </w:rPr>
            </w:r>
            <w:r>
              <w:rPr>
                <w:rFonts w:ascii="Calibri" w:hAnsi="Calibri"/>
                <w:b w:val="0"/>
                <w:sz w:val="19"/>
              </w:rPr>
              <w:t>585</w:t>
            </w:r>
          </w:p>
        </w:tc>
        <w:tc>
          <w:tcPr>
            <w:tcW w:type="dxa" w:w="3096"/>
          </w:tcPr>
          <w:p>
            <w:pPr>
              <w:spacing w:after="20" w:before="20"/>
              <w:jc w:val="right"/>
            </w:pPr>
            <w:r>
              <w:rPr>
                <w:rFonts w:ascii="Calibri" w:hAnsi="Calibri"/>
                <w:b w:val="0"/>
                <w:sz w:val="19"/>
              </w:rPr>
            </w:r>
            <w:r>
              <w:rPr>
                <w:rFonts w:ascii="Calibri" w:hAnsi="Calibri"/>
                <w:b w:val="0"/>
                <w:sz w:val="19"/>
              </w:rPr>
              <w:t>63.9%</w:t>
            </w:r>
          </w:p>
        </w:tc>
      </w:tr>
      <w:tr>
        <w:tc>
          <w:tcPr>
            <w:tcW w:type="dxa" w:w="2880"/>
          </w:tcPr>
          <w:p>
            <w:pPr>
              <w:spacing w:after="20" w:before="20"/>
            </w:pPr>
            <w:r>
              <w:rPr>
                <w:rFonts w:ascii="Calibri" w:hAnsi="Calibri"/>
                <w:b w:val="0"/>
                <w:sz w:val="19"/>
              </w:rPr>
            </w:r>
            <w:r>
              <w:rPr>
                <w:rFonts w:ascii="Calibri" w:hAnsi="Calibri"/>
                <w:b w:val="0"/>
                <w:sz w:val="19"/>
              </w:rPr>
              <w:t>Top 20%</w:t>
            </w:r>
          </w:p>
        </w:tc>
        <w:tc>
          <w:tcPr>
            <w:tcW w:type="dxa" w:w="2880"/>
          </w:tcPr>
          <w:p>
            <w:pPr>
              <w:spacing w:after="20" w:before="20"/>
              <w:jc w:val="right"/>
            </w:pPr>
            <w:r>
              <w:rPr>
                <w:rFonts w:ascii="Calibri" w:hAnsi="Calibri"/>
                <w:b w:val="0"/>
                <w:sz w:val="19"/>
              </w:rPr>
            </w:r>
            <w:r>
              <w:rPr>
                <w:rFonts w:ascii="Calibri" w:hAnsi="Calibri"/>
                <w:b w:val="0"/>
                <w:sz w:val="19"/>
              </w:rPr>
              <w:t>1,170</w:t>
            </w:r>
          </w:p>
        </w:tc>
        <w:tc>
          <w:tcPr>
            <w:tcW w:type="dxa" w:w="3096"/>
          </w:tcPr>
          <w:p>
            <w:pPr>
              <w:spacing w:after="20" w:before="20"/>
              <w:jc w:val="right"/>
            </w:pPr>
            <w:r>
              <w:rPr>
                <w:rFonts w:ascii="Calibri" w:hAnsi="Calibri"/>
                <w:b w:val="0"/>
                <w:sz w:val="19"/>
              </w:rPr>
            </w:r>
            <w:r>
              <w:rPr>
                <w:rFonts w:ascii="Calibri" w:hAnsi="Calibri"/>
                <w:b w:val="0"/>
                <w:sz w:val="19"/>
              </w:rPr>
              <w:t>77.2%</w:t>
            </w:r>
          </w:p>
        </w:tc>
      </w:tr>
      <w:tr>
        <w:tc>
          <w:tcPr>
            <w:tcW w:type="dxa" w:w="2880"/>
          </w:tcPr>
          <w:p>
            <w:pPr>
              <w:spacing w:after="20" w:before="20"/>
            </w:pPr>
            <w:r>
              <w:rPr>
                <w:rFonts w:ascii="Calibri" w:hAnsi="Calibri"/>
                <w:b w:val="0"/>
                <w:sz w:val="19"/>
              </w:rPr>
            </w:r>
            <w:r>
              <w:rPr>
                <w:rFonts w:ascii="Calibri" w:hAnsi="Calibri"/>
                <w:b w:val="0"/>
                <w:sz w:val="19"/>
              </w:rPr>
              <w:t>Top 50%</w:t>
            </w:r>
          </w:p>
        </w:tc>
        <w:tc>
          <w:tcPr>
            <w:tcW w:type="dxa" w:w="2880"/>
          </w:tcPr>
          <w:p>
            <w:pPr>
              <w:spacing w:after="20" w:before="20"/>
              <w:jc w:val="right"/>
            </w:pPr>
            <w:r>
              <w:rPr>
                <w:rFonts w:ascii="Calibri" w:hAnsi="Calibri"/>
                <w:b w:val="0"/>
                <w:sz w:val="19"/>
              </w:rPr>
            </w:r>
            <w:r>
              <w:rPr>
                <w:rFonts w:ascii="Calibri" w:hAnsi="Calibri"/>
                <w:b w:val="0"/>
                <w:sz w:val="19"/>
              </w:rPr>
              <w:t>2,927</w:t>
            </w:r>
          </w:p>
        </w:tc>
        <w:tc>
          <w:tcPr>
            <w:tcW w:type="dxa" w:w="3096"/>
          </w:tcPr>
          <w:p>
            <w:pPr>
              <w:spacing w:after="20" w:before="20"/>
              <w:jc w:val="right"/>
            </w:pPr>
            <w:r>
              <w:rPr>
                <w:rFonts w:ascii="Calibri" w:hAnsi="Calibri"/>
                <w:b w:val="0"/>
                <w:sz w:val="19"/>
              </w:rPr>
            </w:r>
            <w:r>
              <w:rPr>
                <w:rFonts w:ascii="Calibri" w:hAnsi="Calibri"/>
                <w:b w:val="0"/>
                <w:sz w:val="19"/>
              </w:rPr>
              <w:t>93.6%</w:t>
            </w:r>
          </w:p>
        </w:tc>
      </w:tr>
    </w:tbl>
    <w:p/>
    <w:p>
      <w:r>
        <w:rPr>
          <w:b/>
          <w:i w:val="0"/>
        </w:rPr>
        <w:t>1,170 customers produce 77.2% of identified revenue, and 58 produce 31.9%.</w:t>
      </w:r>
      <w:r>
        <w:rPr>
          <w:b w:val="0"/>
          <w:i w:val="0"/>
        </w:rPr>
        <w:t xml:space="preserve"> Both shares are measured against the £17,528,150 carried by identified customers, not the £20,517,554 total - as is every other customer-level share in this report. The distribution behind that is extreme: the median customer is worth £889.31, the mean £2,994.22 (3.4x the median), and the largest single customer £608,821.65.</w:t>
      </w:r>
    </w:p>
    <w:p>
      <w:r>
        <w:rPr>
          <w:b w:val="0"/>
          <w:i w:val="0"/>
        </w:rPr>
        <w:t>This is the finding that licenses everything after it. Treating this base uniformly is guaranteed to be wrong, because a uniform plan is calibrated to a customer who does not exist.</w:t>
      </w:r>
    </w:p>
    <w:p>
      <w:r>
        <w:br w:type="page"/>
      </w:r>
    </w:p>
    <w:p>
      <w:pPr>
        <w:pStyle w:val="Heading1"/>
      </w:pPr>
      <w:r>
        <w:t>8.  Customer segmentation - RFM</w:t>
      </w:r>
    </w:p>
    <w:p>
      <w:pPr>
        <w:spacing w:after="40"/>
        <w:jc w:val="center"/>
      </w:pPr>
      <w:r>
        <w:drawing>
          <wp:inline xmlns:a="http://schemas.openxmlformats.org/drawingml/2006/main" xmlns:pic="http://schemas.openxmlformats.org/drawingml/2006/picture">
            <wp:extent cx="5623560" cy="2464055"/>
            <wp:docPr id="9" name="Picture 9"/>
            <wp:cNvGraphicFramePr>
              <a:graphicFrameLocks noChangeAspect="1"/>
            </wp:cNvGraphicFramePr>
            <a:graphic>
              <a:graphicData uri="http://schemas.openxmlformats.org/drawingml/2006/picture">
                <pic:pic>
                  <pic:nvPicPr>
                    <pic:cNvPr id="0" name="09_rfm_segments.png"/>
                    <pic:cNvPicPr/>
                  </pic:nvPicPr>
                  <pic:blipFill>
                    <a:blip r:embed="rId18"/>
                    <a:stretch>
                      <a:fillRect/>
                    </a:stretch>
                  </pic:blipFill>
                  <pic:spPr>
                    <a:xfrm>
                      <a:off x="0" y="0"/>
                      <a:ext cx="5623560" cy="2464055"/>
                    </a:xfrm>
                    <a:prstGeom prst="rect"/>
                  </pic:spPr>
                </pic:pic>
              </a:graphicData>
            </a:graphic>
          </wp:inline>
        </w:drawing>
      </w:r>
    </w:p>
    <w:p>
      <w:pPr>
        <w:spacing w:before="40" w:after="240"/>
        <w:jc w:val="center"/>
      </w:pPr>
      <w:r>
        <w:rPr>
          <w:b w:val="0"/>
          <w:i/>
          <w:color w:val="77776F"/>
          <w:sz w:val="17"/>
        </w:rPr>
        <w:t>Figure 9. The nine RFM segments: share of customers against share of revenue.</w:t>
      </w:r>
    </w:p>
    <w:p>
      <w:pPr>
        <w:spacing w:before="40" w:after="40"/>
        <w:jc w:val="left"/>
      </w:pPr>
      <w:r>
        <w:rPr>
          <w:b w:val="0"/>
          <w:i/>
          <w:color w:val="77776F"/>
          <w:sz w:val="17"/>
        </w:rPr>
        <w:t>Table 11. The nine RFM segments, ordered by revenue contribution.</w:t>
      </w:r>
    </w:p>
    <w:tbl>
      <w:tblPr>
        <w:tblStyle w:val="LightGrid-Accent1"/>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1800"/>
          </w:tcPr>
          <w:p>
            <w:pPr>
              <w:spacing w:after="20" w:before="20"/>
            </w:pPr>
            <w:r>
              <w:rPr>
                <w:rFonts w:ascii="Calibri" w:hAnsi="Calibri"/>
                <w:b/>
                <w:sz w:val="16"/>
              </w:rPr>
            </w:r>
            <w:r>
              <w:rPr>
                <w:rFonts w:ascii="Calibri" w:hAnsi="Calibri"/>
                <w:b/>
                <w:sz w:val="16"/>
              </w:rPr>
              <w:t>Segment</w:t>
            </w:r>
          </w:p>
        </w:tc>
        <w:tc>
          <w:tcPr>
            <w:tcW w:type="dxa" w:w="1037"/>
          </w:tcPr>
          <w:p>
            <w:pPr>
              <w:spacing w:after="20" w:before="20"/>
              <w:jc w:val="right"/>
            </w:pPr>
            <w:r>
              <w:rPr>
                <w:rFonts w:ascii="Calibri" w:hAnsi="Calibri"/>
                <w:b/>
                <w:sz w:val="16"/>
              </w:rPr>
            </w:r>
            <w:r>
              <w:rPr>
                <w:rFonts w:ascii="Calibri" w:hAnsi="Calibri"/>
                <w:b/>
                <w:sz w:val="16"/>
              </w:rPr>
              <w:t>Customers</w:t>
            </w:r>
          </w:p>
        </w:tc>
        <w:tc>
          <w:tcPr>
            <w:tcW w:type="dxa" w:w="1037"/>
          </w:tcPr>
          <w:p>
            <w:pPr>
              <w:spacing w:after="20" w:before="20"/>
              <w:jc w:val="right"/>
            </w:pPr>
            <w:r>
              <w:rPr>
                <w:rFonts w:ascii="Calibri" w:hAnsi="Calibri"/>
                <w:b/>
                <w:sz w:val="16"/>
              </w:rPr>
            </w:r>
            <w:r>
              <w:rPr>
                <w:rFonts w:ascii="Calibri" w:hAnsi="Calibri"/>
                <w:b/>
                <w:sz w:val="16"/>
              </w:rPr>
              <w:t>% of base</w:t>
            </w:r>
          </w:p>
        </w:tc>
        <w:tc>
          <w:tcPr>
            <w:tcW w:type="dxa" w:w="1037"/>
          </w:tcPr>
          <w:p>
            <w:pPr>
              <w:spacing w:after="20" w:before="20"/>
              <w:jc w:val="right"/>
            </w:pPr>
            <w:r>
              <w:rPr>
                <w:rFonts w:ascii="Calibri" w:hAnsi="Calibri"/>
                <w:b/>
                <w:sz w:val="16"/>
              </w:rPr>
            </w:r>
            <w:r>
              <w:rPr>
                <w:rFonts w:ascii="Calibri" w:hAnsi="Calibri"/>
                <w:b/>
                <w:sz w:val="16"/>
              </w:rPr>
              <w:t>Revenue</w:t>
            </w:r>
          </w:p>
        </w:tc>
        <w:tc>
          <w:tcPr>
            <w:tcW w:type="dxa" w:w="1123"/>
          </w:tcPr>
          <w:p>
            <w:pPr>
              <w:spacing w:after="20" w:before="20"/>
              <w:jc w:val="right"/>
            </w:pPr>
            <w:r>
              <w:rPr>
                <w:rFonts w:ascii="Calibri" w:hAnsi="Calibri"/>
                <w:b/>
                <w:sz w:val="16"/>
              </w:rPr>
            </w:r>
            <w:r>
              <w:rPr>
                <w:rFonts w:ascii="Calibri" w:hAnsi="Calibri"/>
                <w:b/>
                <w:sz w:val="16"/>
              </w:rPr>
              <w:t>% of identified revenue</w:t>
            </w:r>
          </w:p>
        </w:tc>
        <w:tc>
          <w:tcPr>
            <w:tcW w:type="dxa" w:w="1224"/>
          </w:tcPr>
          <w:p>
            <w:pPr>
              <w:spacing w:after="20" w:before="20"/>
              <w:jc w:val="right"/>
            </w:pPr>
            <w:r>
              <w:rPr>
                <w:rFonts w:ascii="Calibri" w:hAnsi="Calibri"/>
                <w:b/>
                <w:sz w:val="16"/>
              </w:rPr>
            </w:r>
            <w:r>
              <w:rPr>
                <w:rFonts w:ascii="Calibri" w:hAnsi="Calibri"/>
                <w:b/>
                <w:sz w:val="16"/>
              </w:rPr>
              <w:t>Avg recency (days)</w:t>
            </w:r>
          </w:p>
        </w:tc>
        <w:tc>
          <w:tcPr>
            <w:tcW w:type="dxa" w:w="907"/>
          </w:tcPr>
          <w:p>
            <w:pPr>
              <w:spacing w:after="20" w:before="20"/>
              <w:jc w:val="right"/>
            </w:pPr>
            <w:r>
              <w:rPr>
                <w:rFonts w:ascii="Calibri" w:hAnsi="Calibri"/>
                <w:b/>
                <w:sz w:val="16"/>
              </w:rPr>
            </w:r>
            <w:r>
              <w:rPr>
                <w:rFonts w:ascii="Calibri" w:hAnsi="Calibri"/>
                <w:b/>
                <w:sz w:val="16"/>
              </w:rPr>
              <w:t>Avg orders</w:t>
            </w:r>
          </w:p>
        </w:tc>
        <w:tc>
          <w:tcPr>
            <w:tcW w:type="dxa" w:w="1037"/>
          </w:tcPr>
          <w:p>
            <w:pPr>
              <w:spacing w:after="20" w:before="20"/>
              <w:jc w:val="right"/>
            </w:pPr>
            <w:r>
              <w:rPr>
                <w:rFonts w:ascii="Calibri" w:hAnsi="Calibri"/>
                <w:b/>
                <w:sz w:val="16"/>
              </w:rPr>
            </w:r>
            <w:r>
              <w:rPr>
                <w:rFonts w:ascii="Calibri" w:hAnsi="Calibri"/>
                <w:b/>
                <w:sz w:val="16"/>
              </w:rPr>
              <w:t>Avg spend</w:t>
            </w:r>
          </w:p>
        </w:tc>
      </w:tr>
      <w:tr>
        <w:tc>
          <w:tcPr>
            <w:tcW w:type="dxa" w:w="1800"/>
          </w:tcPr>
          <w:p>
            <w:pPr>
              <w:spacing w:after="20" w:before="20"/>
            </w:pPr>
            <w:r>
              <w:rPr>
                <w:rFonts w:ascii="Calibri" w:hAnsi="Calibri"/>
                <w:b w:val="0"/>
                <w:sz w:val="16"/>
              </w:rPr>
            </w:r>
            <w:r>
              <w:rPr>
                <w:rFonts w:ascii="Calibri" w:hAnsi="Calibri"/>
                <w:b w:val="0"/>
                <w:sz w:val="16"/>
              </w:rPr>
              <w:t>Champions</w:t>
            </w:r>
          </w:p>
        </w:tc>
        <w:tc>
          <w:tcPr>
            <w:tcW w:type="dxa" w:w="1037"/>
          </w:tcPr>
          <w:p>
            <w:pPr>
              <w:spacing w:after="20" w:before="20"/>
              <w:jc w:val="right"/>
            </w:pPr>
            <w:r>
              <w:rPr>
                <w:rFonts w:ascii="Calibri" w:hAnsi="Calibri"/>
                <w:b w:val="0"/>
                <w:sz w:val="16"/>
              </w:rPr>
            </w:r>
            <w:r>
              <w:rPr>
                <w:rFonts w:ascii="Calibri" w:hAnsi="Calibri"/>
                <w:b w:val="0"/>
                <w:sz w:val="16"/>
              </w:rPr>
              <w:t>1,555</w:t>
            </w:r>
          </w:p>
        </w:tc>
        <w:tc>
          <w:tcPr>
            <w:tcW w:type="dxa" w:w="1037"/>
          </w:tcPr>
          <w:p>
            <w:pPr>
              <w:spacing w:after="20" w:before="20"/>
              <w:jc w:val="right"/>
            </w:pPr>
            <w:r>
              <w:rPr>
                <w:rFonts w:ascii="Calibri" w:hAnsi="Calibri"/>
                <w:b w:val="0"/>
                <w:sz w:val="16"/>
              </w:rPr>
            </w:r>
            <w:r>
              <w:rPr>
                <w:rFonts w:ascii="Calibri" w:hAnsi="Calibri"/>
                <w:b w:val="0"/>
                <w:sz w:val="16"/>
              </w:rPr>
              <w:t>26.6%</w:t>
            </w:r>
          </w:p>
        </w:tc>
        <w:tc>
          <w:tcPr>
            <w:tcW w:type="dxa" w:w="1037"/>
          </w:tcPr>
          <w:p>
            <w:pPr>
              <w:spacing w:after="20" w:before="20"/>
              <w:jc w:val="right"/>
            </w:pPr>
            <w:r>
              <w:rPr>
                <w:rFonts w:ascii="Calibri" w:hAnsi="Calibri"/>
                <w:b w:val="0"/>
                <w:sz w:val="16"/>
              </w:rPr>
            </w:r>
            <w:r>
              <w:rPr>
                <w:rFonts w:ascii="Calibri" w:hAnsi="Calibri"/>
                <w:b w:val="0"/>
                <w:sz w:val="16"/>
              </w:rPr>
              <w:t>£12.54M</w:t>
            </w:r>
          </w:p>
        </w:tc>
        <w:tc>
          <w:tcPr>
            <w:tcW w:type="dxa" w:w="1123"/>
          </w:tcPr>
          <w:p>
            <w:pPr>
              <w:spacing w:after="20" w:before="20"/>
              <w:jc w:val="right"/>
            </w:pPr>
            <w:r>
              <w:rPr>
                <w:rFonts w:ascii="Calibri" w:hAnsi="Calibri"/>
                <w:b w:val="0"/>
                <w:sz w:val="16"/>
              </w:rPr>
            </w:r>
            <w:r>
              <w:rPr>
                <w:rFonts w:ascii="Calibri" w:hAnsi="Calibri"/>
                <w:b w:val="0"/>
                <w:sz w:val="16"/>
              </w:rPr>
              <w:t>71.5%</w:t>
            </w:r>
          </w:p>
        </w:tc>
        <w:tc>
          <w:tcPr>
            <w:tcW w:type="dxa" w:w="1224"/>
          </w:tcPr>
          <w:p>
            <w:pPr>
              <w:spacing w:after="20" w:before="20"/>
              <w:jc w:val="right"/>
            </w:pPr>
            <w:r>
              <w:rPr>
                <w:rFonts w:ascii="Calibri" w:hAnsi="Calibri"/>
                <w:b w:val="0"/>
                <w:sz w:val="16"/>
              </w:rPr>
            </w:r>
            <w:r>
              <w:rPr>
                <w:rFonts w:ascii="Calibri" w:hAnsi="Calibri"/>
                <w:b w:val="0"/>
                <w:sz w:val="16"/>
              </w:rPr>
              <w:t>20.3</w:t>
            </w:r>
          </w:p>
        </w:tc>
        <w:tc>
          <w:tcPr>
            <w:tcW w:type="dxa" w:w="907"/>
          </w:tcPr>
          <w:p>
            <w:pPr>
              <w:spacing w:after="20" w:before="20"/>
              <w:jc w:val="right"/>
            </w:pPr>
            <w:r>
              <w:rPr>
                <w:rFonts w:ascii="Calibri" w:hAnsi="Calibri"/>
                <w:b w:val="0"/>
                <w:sz w:val="16"/>
              </w:rPr>
            </w:r>
            <w:r>
              <w:rPr>
                <w:rFonts w:ascii="Calibri" w:hAnsi="Calibri"/>
                <w:b w:val="0"/>
                <w:sz w:val="16"/>
              </w:rPr>
              <w:t>14.9</w:t>
            </w:r>
          </w:p>
        </w:tc>
        <w:tc>
          <w:tcPr>
            <w:tcW w:type="dxa" w:w="1037"/>
          </w:tcPr>
          <w:p>
            <w:pPr>
              <w:spacing w:after="20" w:before="20"/>
              <w:jc w:val="right"/>
            </w:pPr>
            <w:r>
              <w:rPr>
                <w:rFonts w:ascii="Calibri" w:hAnsi="Calibri"/>
                <w:b w:val="0"/>
                <w:sz w:val="16"/>
              </w:rPr>
            </w:r>
            <w:r>
              <w:rPr>
                <w:rFonts w:ascii="Calibri" w:hAnsi="Calibri"/>
                <w:b w:val="0"/>
                <w:sz w:val="16"/>
              </w:rPr>
              <w:t>£8,062</w:t>
            </w:r>
          </w:p>
        </w:tc>
      </w:tr>
      <w:tr>
        <w:tc>
          <w:tcPr>
            <w:tcW w:type="dxa" w:w="1800"/>
          </w:tcPr>
          <w:p>
            <w:pPr>
              <w:spacing w:after="20" w:before="20"/>
            </w:pPr>
            <w:r>
              <w:rPr>
                <w:rFonts w:ascii="Calibri" w:hAnsi="Calibri"/>
                <w:b w:val="0"/>
                <w:sz w:val="16"/>
              </w:rPr>
            </w:r>
            <w:r>
              <w:rPr>
                <w:rFonts w:ascii="Calibri" w:hAnsi="Calibri"/>
                <w:b w:val="0"/>
                <w:sz w:val="16"/>
              </w:rPr>
              <w:t>Loyal</w:t>
            </w:r>
          </w:p>
        </w:tc>
        <w:tc>
          <w:tcPr>
            <w:tcW w:type="dxa" w:w="1037"/>
          </w:tcPr>
          <w:p>
            <w:pPr>
              <w:spacing w:after="20" w:before="20"/>
              <w:jc w:val="right"/>
            </w:pPr>
            <w:r>
              <w:rPr>
                <w:rFonts w:ascii="Calibri" w:hAnsi="Calibri"/>
                <w:b w:val="0"/>
                <w:sz w:val="16"/>
              </w:rPr>
            </w:r>
            <w:r>
              <w:rPr>
                <w:rFonts w:ascii="Calibri" w:hAnsi="Calibri"/>
                <w:b w:val="0"/>
                <w:sz w:val="16"/>
              </w:rPr>
              <w:t>959</w:t>
            </w:r>
          </w:p>
        </w:tc>
        <w:tc>
          <w:tcPr>
            <w:tcW w:type="dxa" w:w="1037"/>
          </w:tcPr>
          <w:p>
            <w:pPr>
              <w:spacing w:after="20" w:before="20"/>
              <w:jc w:val="right"/>
            </w:pPr>
            <w:r>
              <w:rPr>
                <w:rFonts w:ascii="Calibri" w:hAnsi="Calibri"/>
                <w:b w:val="0"/>
                <w:sz w:val="16"/>
              </w:rPr>
            </w:r>
            <w:r>
              <w:rPr>
                <w:rFonts w:ascii="Calibri" w:hAnsi="Calibri"/>
                <w:b w:val="0"/>
                <w:sz w:val="16"/>
              </w:rPr>
              <w:t>16.4%</w:t>
            </w:r>
          </w:p>
        </w:tc>
        <w:tc>
          <w:tcPr>
            <w:tcW w:type="dxa" w:w="1037"/>
          </w:tcPr>
          <w:p>
            <w:pPr>
              <w:spacing w:after="20" w:before="20"/>
              <w:jc w:val="right"/>
            </w:pPr>
            <w:r>
              <w:rPr>
                <w:rFonts w:ascii="Calibri" w:hAnsi="Calibri"/>
                <w:b w:val="0"/>
                <w:sz w:val="16"/>
              </w:rPr>
            </w:r>
            <w:r>
              <w:rPr>
                <w:rFonts w:ascii="Calibri" w:hAnsi="Calibri"/>
                <w:b w:val="0"/>
                <w:sz w:val="16"/>
              </w:rPr>
              <w:t>£2.29M</w:t>
            </w:r>
          </w:p>
        </w:tc>
        <w:tc>
          <w:tcPr>
            <w:tcW w:type="dxa" w:w="1123"/>
          </w:tcPr>
          <w:p>
            <w:pPr>
              <w:spacing w:after="20" w:before="20"/>
              <w:jc w:val="right"/>
            </w:pPr>
            <w:r>
              <w:rPr>
                <w:rFonts w:ascii="Calibri" w:hAnsi="Calibri"/>
                <w:b w:val="0"/>
                <w:sz w:val="16"/>
              </w:rPr>
            </w:r>
            <w:r>
              <w:rPr>
                <w:rFonts w:ascii="Calibri" w:hAnsi="Calibri"/>
                <w:b w:val="0"/>
                <w:sz w:val="16"/>
              </w:rPr>
              <w:t>13.1%</w:t>
            </w:r>
          </w:p>
        </w:tc>
        <w:tc>
          <w:tcPr>
            <w:tcW w:type="dxa" w:w="1224"/>
          </w:tcPr>
          <w:p>
            <w:pPr>
              <w:spacing w:after="20" w:before="20"/>
              <w:jc w:val="right"/>
            </w:pPr>
            <w:r>
              <w:rPr>
                <w:rFonts w:ascii="Calibri" w:hAnsi="Calibri"/>
                <w:b w:val="0"/>
                <w:sz w:val="16"/>
              </w:rPr>
            </w:r>
            <w:r>
              <w:rPr>
                <w:rFonts w:ascii="Calibri" w:hAnsi="Calibri"/>
                <w:b w:val="0"/>
                <w:sz w:val="16"/>
              </w:rPr>
              <w:t>85.9</w:t>
            </w:r>
          </w:p>
        </w:tc>
        <w:tc>
          <w:tcPr>
            <w:tcW w:type="dxa" w:w="907"/>
          </w:tcPr>
          <w:p>
            <w:pPr>
              <w:spacing w:after="20" w:before="20"/>
              <w:jc w:val="right"/>
            </w:pPr>
            <w:r>
              <w:rPr>
                <w:rFonts w:ascii="Calibri" w:hAnsi="Calibri"/>
                <w:b w:val="0"/>
                <w:sz w:val="16"/>
              </w:rPr>
            </w:r>
            <w:r>
              <w:rPr>
                <w:rFonts w:ascii="Calibri" w:hAnsi="Calibri"/>
                <w:b w:val="0"/>
                <w:sz w:val="16"/>
              </w:rPr>
              <w:t>6.0</w:t>
            </w:r>
          </w:p>
        </w:tc>
        <w:tc>
          <w:tcPr>
            <w:tcW w:type="dxa" w:w="1037"/>
          </w:tcPr>
          <w:p>
            <w:pPr>
              <w:spacing w:after="20" w:before="20"/>
              <w:jc w:val="right"/>
            </w:pPr>
            <w:r>
              <w:rPr>
                <w:rFonts w:ascii="Calibri" w:hAnsi="Calibri"/>
                <w:b w:val="0"/>
                <w:sz w:val="16"/>
              </w:rPr>
            </w:r>
            <w:r>
              <w:rPr>
                <w:rFonts w:ascii="Calibri" w:hAnsi="Calibri"/>
                <w:b w:val="0"/>
                <w:sz w:val="16"/>
              </w:rPr>
              <w:t>£2,391</w:t>
            </w:r>
          </w:p>
        </w:tc>
      </w:tr>
      <w:tr>
        <w:tc>
          <w:tcPr>
            <w:tcW w:type="dxa" w:w="1800"/>
          </w:tcPr>
          <w:p>
            <w:pPr>
              <w:spacing w:after="20" w:before="20"/>
            </w:pPr>
            <w:r>
              <w:rPr>
                <w:rFonts w:ascii="Calibri" w:hAnsi="Calibri"/>
                <w:b w:val="0"/>
                <w:sz w:val="16"/>
              </w:rPr>
            </w:r>
            <w:r>
              <w:rPr>
                <w:rFonts w:ascii="Calibri" w:hAnsi="Calibri"/>
                <w:b w:val="0"/>
                <w:sz w:val="16"/>
              </w:rPr>
              <w:t>Cannot lose them</w:t>
            </w:r>
          </w:p>
        </w:tc>
        <w:tc>
          <w:tcPr>
            <w:tcW w:type="dxa" w:w="1037"/>
          </w:tcPr>
          <w:p>
            <w:pPr>
              <w:spacing w:after="20" w:before="20"/>
              <w:jc w:val="right"/>
            </w:pPr>
            <w:r>
              <w:rPr>
                <w:rFonts w:ascii="Calibri" w:hAnsi="Calibri"/>
                <w:b w:val="0"/>
                <w:sz w:val="16"/>
              </w:rPr>
            </w:r>
            <w:r>
              <w:rPr>
                <w:rFonts w:ascii="Calibri" w:hAnsi="Calibri"/>
                <w:b w:val="0"/>
                <w:sz w:val="16"/>
              </w:rPr>
              <w:t>448</w:t>
            </w:r>
          </w:p>
        </w:tc>
        <w:tc>
          <w:tcPr>
            <w:tcW w:type="dxa" w:w="1037"/>
          </w:tcPr>
          <w:p>
            <w:pPr>
              <w:spacing w:after="20" w:before="20"/>
              <w:jc w:val="right"/>
            </w:pPr>
            <w:r>
              <w:rPr>
                <w:rFonts w:ascii="Calibri" w:hAnsi="Calibri"/>
                <w:b w:val="0"/>
                <w:sz w:val="16"/>
              </w:rPr>
            </w:r>
            <w:r>
              <w:rPr>
                <w:rFonts w:ascii="Calibri" w:hAnsi="Calibri"/>
                <w:b w:val="0"/>
                <w:sz w:val="16"/>
              </w:rPr>
              <w:t>7.7%</w:t>
            </w:r>
          </w:p>
        </w:tc>
        <w:tc>
          <w:tcPr>
            <w:tcW w:type="dxa" w:w="1037"/>
          </w:tcPr>
          <w:p>
            <w:pPr>
              <w:spacing w:after="20" w:before="20"/>
              <w:jc w:val="right"/>
            </w:pPr>
            <w:r>
              <w:rPr>
                <w:rFonts w:ascii="Calibri" w:hAnsi="Calibri"/>
                <w:b w:val="0"/>
                <w:sz w:val="16"/>
              </w:rPr>
            </w:r>
            <w:r>
              <w:rPr>
                <w:rFonts w:ascii="Calibri" w:hAnsi="Calibri"/>
                <w:b w:val="0"/>
                <w:sz w:val="16"/>
              </w:rPr>
              <w:t>£1.45M</w:t>
            </w:r>
          </w:p>
        </w:tc>
        <w:tc>
          <w:tcPr>
            <w:tcW w:type="dxa" w:w="1123"/>
          </w:tcPr>
          <w:p>
            <w:pPr>
              <w:spacing w:after="20" w:before="20"/>
              <w:jc w:val="right"/>
            </w:pPr>
            <w:r>
              <w:rPr>
                <w:rFonts w:ascii="Calibri" w:hAnsi="Calibri"/>
                <w:b w:val="0"/>
                <w:sz w:val="16"/>
              </w:rPr>
            </w:r>
            <w:r>
              <w:rPr>
                <w:rFonts w:ascii="Calibri" w:hAnsi="Calibri"/>
                <w:b w:val="0"/>
                <w:sz w:val="16"/>
              </w:rPr>
              <w:t>8.2%</w:t>
            </w:r>
          </w:p>
        </w:tc>
        <w:tc>
          <w:tcPr>
            <w:tcW w:type="dxa" w:w="1224"/>
          </w:tcPr>
          <w:p>
            <w:pPr>
              <w:spacing w:after="20" w:before="20"/>
              <w:jc w:val="right"/>
            </w:pPr>
            <w:r>
              <w:rPr>
                <w:rFonts w:ascii="Calibri" w:hAnsi="Calibri"/>
                <w:b w:val="0"/>
                <w:sz w:val="16"/>
              </w:rPr>
            </w:r>
            <w:r>
              <w:rPr>
                <w:rFonts w:ascii="Calibri" w:hAnsi="Calibri"/>
                <w:b w:val="0"/>
                <w:sz w:val="16"/>
              </w:rPr>
              <w:t>350.9</w:t>
            </w:r>
          </w:p>
        </w:tc>
        <w:tc>
          <w:tcPr>
            <w:tcW w:type="dxa" w:w="907"/>
          </w:tcPr>
          <w:p>
            <w:pPr>
              <w:spacing w:after="20" w:before="20"/>
              <w:jc w:val="right"/>
            </w:pPr>
            <w:r>
              <w:rPr>
                <w:rFonts w:ascii="Calibri" w:hAnsi="Calibri"/>
                <w:b w:val="0"/>
                <w:sz w:val="16"/>
              </w:rPr>
            </w:r>
            <w:r>
              <w:rPr>
                <w:rFonts w:ascii="Calibri" w:hAnsi="Calibri"/>
                <w:b w:val="0"/>
                <w:sz w:val="16"/>
              </w:rPr>
              <w:t>6.7</w:t>
            </w:r>
          </w:p>
        </w:tc>
        <w:tc>
          <w:tcPr>
            <w:tcW w:type="dxa" w:w="1037"/>
          </w:tcPr>
          <w:p>
            <w:pPr>
              <w:spacing w:after="20" w:before="20"/>
              <w:jc w:val="right"/>
            </w:pPr>
            <w:r>
              <w:rPr>
                <w:rFonts w:ascii="Calibri" w:hAnsi="Calibri"/>
                <w:b w:val="0"/>
                <w:sz w:val="16"/>
              </w:rPr>
            </w:r>
            <w:r>
              <w:rPr>
                <w:rFonts w:ascii="Calibri" w:hAnsi="Calibri"/>
                <w:b w:val="0"/>
                <w:sz w:val="16"/>
              </w:rPr>
              <w:t>£3,226</w:t>
            </w:r>
          </w:p>
        </w:tc>
      </w:tr>
      <w:tr>
        <w:tc>
          <w:tcPr>
            <w:tcW w:type="dxa" w:w="1800"/>
          </w:tcPr>
          <w:p>
            <w:pPr>
              <w:spacing w:after="20" w:before="20"/>
            </w:pPr>
            <w:r>
              <w:rPr>
                <w:rFonts w:ascii="Calibri" w:hAnsi="Calibri"/>
                <w:b w:val="0"/>
                <w:sz w:val="16"/>
              </w:rPr>
            </w:r>
            <w:r>
              <w:rPr>
                <w:rFonts w:ascii="Calibri" w:hAnsi="Calibri"/>
                <w:b w:val="0"/>
                <w:sz w:val="16"/>
              </w:rPr>
              <w:t>At risk</w:t>
            </w:r>
          </w:p>
        </w:tc>
        <w:tc>
          <w:tcPr>
            <w:tcW w:type="dxa" w:w="1037"/>
          </w:tcPr>
          <w:p>
            <w:pPr>
              <w:spacing w:after="20" w:before="20"/>
              <w:jc w:val="right"/>
            </w:pPr>
            <w:r>
              <w:rPr>
                <w:rFonts w:ascii="Calibri" w:hAnsi="Calibri"/>
                <w:b w:val="0"/>
                <w:sz w:val="16"/>
              </w:rPr>
            </w:r>
            <w:r>
              <w:rPr>
                <w:rFonts w:ascii="Calibri" w:hAnsi="Calibri"/>
                <w:b w:val="0"/>
                <w:sz w:val="16"/>
              </w:rPr>
              <w:t>235</w:t>
            </w:r>
          </w:p>
        </w:tc>
        <w:tc>
          <w:tcPr>
            <w:tcW w:type="dxa" w:w="1037"/>
          </w:tcPr>
          <w:p>
            <w:pPr>
              <w:spacing w:after="20" w:before="20"/>
              <w:jc w:val="right"/>
            </w:pPr>
            <w:r>
              <w:rPr>
                <w:rFonts w:ascii="Calibri" w:hAnsi="Calibri"/>
                <w:b w:val="0"/>
                <w:sz w:val="16"/>
              </w:rPr>
            </w:r>
            <w:r>
              <w:rPr>
                <w:rFonts w:ascii="Calibri" w:hAnsi="Calibri"/>
                <w:b w:val="0"/>
                <w:sz w:val="16"/>
              </w:rPr>
              <w:t>4.0%</w:t>
            </w:r>
          </w:p>
        </w:tc>
        <w:tc>
          <w:tcPr>
            <w:tcW w:type="dxa" w:w="1037"/>
          </w:tcPr>
          <w:p>
            <w:pPr>
              <w:spacing w:after="20" w:before="20"/>
              <w:jc w:val="right"/>
            </w:pPr>
            <w:r>
              <w:rPr>
                <w:rFonts w:ascii="Calibri" w:hAnsi="Calibri"/>
                <w:b w:val="0"/>
                <w:sz w:val="16"/>
              </w:rPr>
            </w:r>
            <w:r>
              <w:rPr>
                <w:rFonts w:ascii="Calibri" w:hAnsi="Calibri"/>
                <w:b w:val="0"/>
                <w:sz w:val="16"/>
              </w:rPr>
              <w:t>£245k</w:t>
            </w:r>
          </w:p>
        </w:tc>
        <w:tc>
          <w:tcPr>
            <w:tcW w:type="dxa" w:w="1123"/>
          </w:tcPr>
          <w:p>
            <w:pPr>
              <w:spacing w:after="20" w:before="20"/>
              <w:jc w:val="right"/>
            </w:pPr>
            <w:r>
              <w:rPr>
                <w:rFonts w:ascii="Calibri" w:hAnsi="Calibri"/>
                <w:b w:val="0"/>
                <w:sz w:val="16"/>
              </w:rPr>
            </w:r>
            <w:r>
              <w:rPr>
                <w:rFonts w:ascii="Calibri" w:hAnsi="Calibri"/>
                <w:b w:val="0"/>
                <w:sz w:val="16"/>
              </w:rPr>
              <w:t>1.4%</w:t>
            </w:r>
          </w:p>
        </w:tc>
        <w:tc>
          <w:tcPr>
            <w:tcW w:type="dxa" w:w="1224"/>
          </w:tcPr>
          <w:p>
            <w:pPr>
              <w:spacing w:after="20" w:before="20"/>
              <w:jc w:val="right"/>
            </w:pPr>
            <w:r>
              <w:rPr>
                <w:rFonts w:ascii="Calibri" w:hAnsi="Calibri"/>
                <w:b w:val="0"/>
                <w:sz w:val="16"/>
              </w:rPr>
            </w:r>
            <w:r>
              <w:rPr>
                <w:rFonts w:ascii="Calibri" w:hAnsi="Calibri"/>
                <w:b w:val="0"/>
                <w:sz w:val="16"/>
              </w:rPr>
              <w:t>385.7</w:t>
            </w:r>
          </w:p>
        </w:tc>
        <w:tc>
          <w:tcPr>
            <w:tcW w:type="dxa" w:w="907"/>
          </w:tcPr>
          <w:p>
            <w:pPr>
              <w:spacing w:after="20" w:before="20"/>
              <w:jc w:val="right"/>
            </w:pPr>
            <w:r>
              <w:rPr>
                <w:rFonts w:ascii="Calibri" w:hAnsi="Calibri"/>
                <w:b w:val="0"/>
                <w:sz w:val="16"/>
              </w:rPr>
            </w:r>
            <w:r>
              <w:rPr>
                <w:rFonts w:ascii="Calibri" w:hAnsi="Calibri"/>
                <w:b w:val="0"/>
                <w:sz w:val="16"/>
              </w:rPr>
              <w:t>3.1</w:t>
            </w:r>
          </w:p>
        </w:tc>
        <w:tc>
          <w:tcPr>
            <w:tcW w:type="dxa" w:w="1037"/>
          </w:tcPr>
          <w:p>
            <w:pPr>
              <w:spacing w:after="20" w:before="20"/>
              <w:jc w:val="right"/>
            </w:pPr>
            <w:r>
              <w:rPr>
                <w:rFonts w:ascii="Calibri" w:hAnsi="Calibri"/>
                <w:b w:val="0"/>
                <w:sz w:val="16"/>
              </w:rPr>
            </w:r>
            <w:r>
              <w:rPr>
                <w:rFonts w:ascii="Calibri" w:hAnsi="Calibri"/>
                <w:b w:val="0"/>
                <w:sz w:val="16"/>
              </w:rPr>
              <w:t>£1,040</w:t>
            </w:r>
          </w:p>
        </w:tc>
      </w:tr>
      <w:tr>
        <w:tc>
          <w:tcPr>
            <w:tcW w:type="dxa" w:w="1800"/>
          </w:tcPr>
          <w:p>
            <w:pPr>
              <w:spacing w:after="20" w:before="20"/>
            </w:pPr>
            <w:r>
              <w:rPr>
                <w:rFonts w:ascii="Calibri" w:hAnsi="Calibri"/>
                <w:b w:val="0"/>
                <w:sz w:val="16"/>
              </w:rPr>
            </w:r>
            <w:r>
              <w:rPr>
                <w:rFonts w:ascii="Calibri" w:hAnsi="Calibri"/>
                <w:b w:val="0"/>
                <w:sz w:val="16"/>
              </w:rPr>
              <w:t>Needs attention</w:t>
            </w:r>
          </w:p>
        </w:tc>
        <w:tc>
          <w:tcPr>
            <w:tcW w:type="dxa" w:w="1037"/>
          </w:tcPr>
          <w:p>
            <w:pPr>
              <w:spacing w:after="20" w:before="20"/>
              <w:jc w:val="right"/>
            </w:pPr>
            <w:r>
              <w:rPr>
                <w:rFonts w:ascii="Calibri" w:hAnsi="Calibri"/>
                <w:b w:val="0"/>
                <w:sz w:val="16"/>
              </w:rPr>
            </w:r>
            <w:r>
              <w:rPr>
                <w:rFonts w:ascii="Calibri" w:hAnsi="Calibri"/>
                <w:b w:val="0"/>
                <w:sz w:val="16"/>
              </w:rPr>
              <w:t>440</w:t>
            </w:r>
          </w:p>
        </w:tc>
        <w:tc>
          <w:tcPr>
            <w:tcW w:type="dxa" w:w="1037"/>
          </w:tcPr>
          <w:p>
            <w:pPr>
              <w:spacing w:after="20" w:before="20"/>
              <w:jc w:val="right"/>
            </w:pPr>
            <w:r>
              <w:rPr>
                <w:rFonts w:ascii="Calibri" w:hAnsi="Calibri"/>
                <w:b w:val="0"/>
                <w:sz w:val="16"/>
              </w:rPr>
            </w:r>
            <w:r>
              <w:rPr>
                <w:rFonts w:ascii="Calibri" w:hAnsi="Calibri"/>
                <w:b w:val="0"/>
                <w:sz w:val="16"/>
              </w:rPr>
              <w:t>7.5%</w:t>
            </w:r>
          </w:p>
        </w:tc>
        <w:tc>
          <w:tcPr>
            <w:tcW w:type="dxa" w:w="1037"/>
          </w:tcPr>
          <w:p>
            <w:pPr>
              <w:spacing w:after="20" w:before="20"/>
              <w:jc w:val="right"/>
            </w:pPr>
            <w:r>
              <w:rPr>
                <w:rFonts w:ascii="Calibri" w:hAnsi="Calibri"/>
                <w:b w:val="0"/>
                <w:sz w:val="16"/>
              </w:rPr>
            </w:r>
            <w:r>
              <w:rPr>
                <w:rFonts w:ascii="Calibri" w:hAnsi="Calibri"/>
                <w:b w:val="0"/>
                <w:sz w:val="16"/>
              </w:rPr>
              <w:t>£184k</w:t>
            </w:r>
          </w:p>
        </w:tc>
        <w:tc>
          <w:tcPr>
            <w:tcW w:type="dxa" w:w="1123"/>
          </w:tcPr>
          <w:p>
            <w:pPr>
              <w:spacing w:after="20" w:before="20"/>
              <w:jc w:val="right"/>
            </w:pPr>
            <w:r>
              <w:rPr>
                <w:rFonts w:ascii="Calibri" w:hAnsi="Calibri"/>
                <w:b w:val="0"/>
                <w:sz w:val="16"/>
              </w:rPr>
            </w:r>
            <w:r>
              <w:rPr>
                <w:rFonts w:ascii="Calibri" w:hAnsi="Calibri"/>
                <w:b w:val="0"/>
                <w:sz w:val="16"/>
              </w:rPr>
              <w:t>1.1%</w:t>
            </w:r>
          </w:p>
        </w:tc>
        <w:tc>
          <w:tcPr>
            <w:tcW w:type="dxa" w:w="1224"/>
          </w:tcPr>
          <w:p>
            <w:pPr>
              <w:spacing w:after="20" w:before="20"/>
              <w:jc w:val="right"/>
            </w:pPr>
            <w:r>
              <w:rPr>
                <w:rFonts w:ascii="Calibri" w:hAnsi="Calibri"/>
                <w:b w:val="0"/>
                <w:sz w:val="16"/>
              </w:rPr>
            </w:r>
            <w:r>
              <w:rPr>
                <w:rFonts w:ascii="Calibri" w:hAnsi="Calibri"/>
                <w:b w:val="0"/>
                <w:sz w:val="16"/>
              </w:rPr>
              <w:t>108.5</w:t>
            </w:r>
          </w:p>
        </w:tc>
        <w:tc>
          <w:tcPr>
            <w:tcW w:type="dxa" w:w="907"/>
          </w:tcPr>
          <w:p>
            <w:pPr>
              <w:spacing w:after="20" w:before="20"/>
              <w:jc w:val="right"/>
            </w:pPr>
            <w:r>
              <w:rPr>
                <w:rFonts w:ascii="Calibri" w:hAnsi="Calibri"/>
                <w:b w:val="0"/>
                <w:sz w:val="16"/>
              </w:rPr>
            </w:r>
            <w:r>
              <w:rPr>
                <w:rFonts w:ascii="Calibri" w:hAnsi="Calibri"/>
                <w:b w:val="0"/>
                <w:sz w:val="16"/>
              </w:rPr>
              <w:t>1.6</w:t>
            </w:r>
          </w:p>
        </w:tc>
        <w:tc>
          <w:tcPr>
            <w:tcW w:type="dxa" w:w="1037"/>
          </w:tcPr>
          <w:p>
            <w:pPr>
              <w:spacing w:after="20" w:before="20"/>
              <w:jc w:val="right"/>
            </w:pPr>
            <w:r>
              <w:rPr>
                <w:rFonts w:ascii="Calibri" w:hAnsi="Calibri"/>
                <w:b w:val="0"/>
                <w:sz w:val="16"/>
              </w:rPr>
            </w:r>
            <w:r>
              <w:rPr>
                <w:rFonts w:ascii="Calibri" w:hAnsi="Calibri"/>
                <w:b w:val="0"/>
                <w:sz w:val="16"/>
              </w:rPr>
              <w:t>£419</w:t>
            </w:r>
          </w:p>
        </w:tc>
      </w:tr>
      <w:tr>
        <w:tc>
          <w:tcPr>
            <w:tcW w:type="dxa" w:w="1800"/>
          </w:tcPr>
          <w:p>
            <w:pPr>
              <w:spacing w:after="20" w:before="20"/>
            </w:pPr>
            <w:r>
              <w:rPr>
                <w:rFonts w:ascii="Calibri" w:hAnsi="Calibri"/>
                <w:b w:val="0"/>
                <w:sz w:val="16"/>
              </w:rPr>
            </w:r>
            <w:r>
              <w:rPr>
                <w:rFonts w:ascii="Calibri" w:hAnsi="Calibri"/>
                <w:b w:val="0"/>
                <w:sz w:val="16"/>
              </w:rPr>
              <w:t>Promising</w:t>
            </w:r>
          </w:p>
        </w:tc>
        <w:tc>
          <w:tcPr>
            <w:tcW w:type="dxa" w:w="1037"/>
          </w:tcPr>
          <w:p>
            <w:pPr>
              <w:spacing w:after="20" w:before="20"/>
              <w:jc w:val="right"/>
            </w:pPr>
            <w:r>
              <w:rPr>
                <w:rFonts w:ascii="Calibri" w:hAnsi="Calibri"/>
                <w:b w:val="0"/>
                <w:sz w:val="16"/>
              </w:rPr>
            </w:r>
            <w:r>
              <w:rPr>
                <w:rFonts w:ascii="Calibri" w:hAnsi="Calibri"/>
                <w:b w:val="0"/>
                <w:sz w:val="16"/>
              </w:rPr>
              <w:t>463</w:t>
            </w:r>
          </w:p>
        </w:tc>
        <w:tc>
          <w:tcPr>
            <w:tcW w:type="dxa" w:w="1037"/>
          </w:tcPr>
          <w:p>
            <w:pPr>
              <w:spacing w:after="20" w:before="20"/>
              <w:jc w:val="right"/>
            </w:pPr>
            <w:r>
              <w:rPr>
                <w:rFonts w:ascii="Calibri" w:hAnsi="Calibri"/>
                <w:b w:val="0"/>
                <w:sz w:val="16"/>
              </w:rPr>
            </w:r>
            <w:r>
              <w:rPr>
                <w:rFonts w:ascii="Calibri" w:hAnsi="Calibri"/>
                <w:b w:val="0"/>
                <w:sz w:val="16"/>
              </w:rPr>
              <w:t>7.9%</w:t>
            </w:r>
          </w:p>
        </w:tc>
        <w:tc>
          <w:tcPr>
            <w:tcW w:type="dxa" w:w="1037"/>
          </w:tcPr>
          <w:p>
            <w:pPr>
              <w:spacing w:after="20" w:before="20"/>
              <w:jc w:val="right"/>
            </w:pPr>
            <w:r>
              <w:rPr>
                <w:rFonts w:ascii="Calibri" w:hAnsi="Calibri"/>
                <w:b w:val="0"/>
                <w:sz w:val="16"/>
              </w:rPr>
            </w:r>
            <w:r>
              <w:rPr>
                <w:rFonts w:ascii="Calibri" w:hAnsi="Calibri"/>
                <w:b w:val="0"/>
                <w:sz w:val="16"/>
              </w:rPr>
              <w:t>£221k</w:t>
            </w:r>
          </w:p>
        </w:tc>
        <w:tc>
          <w:tcPr>
            <w:tcW w:type="dxa" w:w="1123"/>
          </w:tcPr>
          <w:p>
            <w:pPr>
              <w:spacing w:after="20" w:before="20"/>
              <w:jc w:val="right"/>
            </w:pPr>
            <w:r>
              <w:rPr>
                <w:rFonts w:ascii="Calibri" w:hAnsi="Calibri"/>
                <w:b w:val="0"/>
                <w:sz w:val="16"/>
              </w:rPr>
            </w:r>
            <w:r>
              <w:rPr>
                <w:rFonts w:ascii="Calibri" w:hAnsi="Calibri"/>
                <w:b w:val="0"/>
                <w:sz w:val="16"/>
              </w:rPr>
              <w:t>1.3%</w:t>
            </w:r>
          </w:p>
        </w:tc>
        <w:tc>
          <w:tcPr>
            <w:tcW w:type="dxa" w:w="1224"/>
          </w:tcPr>
          <w:p>
            <w:pPr>
              <w:spacing w:after="20" w:before="20"/>
              <w:jc w:val="right"/>
            </w:pPr>
            <w:r>
              <w:rPr>
                <w:rFonts w:ascii="Calibri" w:hAnsi="Calibri"/>
                <w:b w:val="0"/>
                <w:sz w:val="16"/>
              </w:rPr>
            </w:r>
            <w:r>
              <w:rPr>
                <w:rFonts w:ascii="Calibri" w:hAnsi="Calibri"/>
                <w:b w:val="0"/>
                <w:sz w:val="16"/>
              </w:rPr>
              <w:t>27.0</w:t>
            </w:r>
          </w:p>
        </w:tc>
        <w:tc>
          <w:tcPr>
            <w:tcW w:type="dxa" w:w="907"/>
          </w:tcPr>
          <w:p>
            <w:pPr>
              <w:spacing w:after="20" w:before="20"/>
              <w:jc w:val="right"/>
            </w:pPr>
            <w:r>
              <w:rPr>
                <w:rFonts w:ascii="Calibri" w:hAnsi="Calibri"/>
                <w:b w:val="0"/>
                <w:sz w:val="16"/>
              </w:rPr>
            </w:r>
            <w:r>
              <w:rPr>
                <w:rFonts w:ascii="Calibri" w:hAnsi="Calibri"/>
                <w:b w:val="0"/>
                <w:sz w:val="16"/>
              </w:rPr>
              <w:t>1.9</w:t>
            </w:r>
          </w:p>
        </w:tc>
        <w:tc>
          <w:tcPr>
            <w:tcW w:type="dxa" w:w="1037"/>
          </w:tcPr>
          <w:p>
            <w:pPr>
              <w:spacing w:after="20" w:before="20"/>
              <w:jc w:val="right"/>
            </w:pPr>
            <w:r>
              <w:rPr>
                <w:rFonts w:ascii="Calibri" w:hAnsi="Calibri"/>
                <w:b w:val="0"/>
                <w:sz w:val="16"/>
              </w:rPr>
            </w:r>
            <w:r>
              <w:rPr>
                <w:rFonts w:ascii="Calibri" w:hAnsi="Calibri"/>
                <w:b w:val="0"/>
                <w:sz w:val="16"/>
              </w:rPr>
              <w:t>£477</w:t>
            </w:r>
          </w:p>
        </w:tc>
      </w:tr>
      <w:tr>
        <w:tc>
          <w:tcPr>
            <w:tcW w:type="dxa" w:w="1800"/>
          </w:tcPr>
          <w:p>
            <w:pPr>
              <w:spacing w:after="20" w:before="20"/>
            </w:pPr>
            <w:r>
              <w:rPr>
                <w:rFonts w:ascii="Calibri" w:hAnsi="Calibri"/>
                <w:b w:val="0"/>
                <w:sz w:val="16"/>
              </w:rPr>
            </w:r>
            <w:r>
              <w:rPr>
                <w:rFonts w:ascii="Calibri" w:hAnsi="Calibri"/>
                <w:b w:val="0"/>
                <w:sz w:val="16"/>
              </w:rPr>
              <w:t>New</w:t>
            </w:r>
          </w:p>
        </w:tc>
        <w:tc>
          <w:tcPr>
            <w:tcW w:type="dxa" w:w="1037"/>
          </w:tcPr>
          <w:p>
            <w:pPr>
              <w:spacing w:after="20" w:before="20"/>
              <w:jc w:val="right"/>
            </w:pPr>
            <w:r>
              <w:rPr>
                <w:rFonts w:ascii="Calibri" w:hAnsi="Calibri"/>
                <w:b w:val="0"/>
                <w:sz w:val="16"/>
              </w:rPr>
            </w:r>
            <w:r>
              <w:rPr>
                <w:rFonts w:ascii="Calibri" w:hAnsi="Calibri"/>
                <w:b w:val="0"/>
                <w:sz w:val="16"/>
              </w:rPr>
              <w:t>95</w:t>
            </w:r>
          </w:p>
        </w:tc>
        <w:tc>
          <w:tcPr>
            <w:tcW w:type="dxa" w:w="1037"/>
          </w:tcPr>
          <w:p>
            <w:pPr>
              <w:spacing w:after="20" w:before="20"/>
              <w:jc w:val="right"/>
            </w:pPr>
            <w:r>
              <w:rPr>
                <w:rFonts w:ascii="Calibri" w:hAnsi="Calibri"/>
                <w:b w:val="0"/>
                <w:sz w:val="16"/>
              </w:rPr>
            </w:r>
            <w:r>
              <w:rPr>
                <w:rFonts w:ascii="Calibri" w:hAnsi="Calibri"/>
                <w:b w:val="0"/>
                <w:sz w:val="16"/>
              </w:rPr>
              <w:t>1.6%</w:t>
            </w:r>
          </w:p>
        </w:tc>
        <w:tc>
          <w:tcPr>
            <w:tcW w:type="dxa" w:w="1037"/>
          </w:tcPr>
          <w:p>
            <w:pPr>
              <w:spacing w:after="20" w:before="20"/>
              <w:jc w:val="right"/>
            </w:pPr>
            <w:r>
              <w:rPr>
                <w:rFonts w:ascii="Calibri" w:hAnsi="Calibri"/>
                <w:b w:val="0"/>
                <w:sz w:val="16"/>
              </w:rPr>
            </w:r>
            <w:r>
              <w:rPr>
                <w:rFonts w:ascii="Calibri" w:hAnsi="Calibri"/>
                <w:b w:val="0"/>
                <w:sz w:val="16"/>
              </w:rPr>
              <w:t>£16k</w:t>
            </w:r>
          </w:p>
        </w:tc>
        <w:tc>
          <w:tcPr>
            <w:tcW w:type="dxa" w:w="1123"/>
          </w:tcPr>
          <w:p>
            <w:pPr>
              <w:spacing w:after="20" w:before="20"/>
              <w:jc w:val="right"/>
            </w:pPr>
            <w:r>
              <w:rPr>
                <w:rFonts w:ascii="Calibri" w:hAnsi="Calibri"/>
                <w:b w:val="0"/>
                <w:sz w:val="16"/>
              </w:rPr>
            </w:r>
            <w:r>
              <w:rPr>
                <w:rFonts w:ascii="Calibri" w:hAnsi="Calibri"/>
                <w:b w:val="0"/>
                <w:sz w:val="16"/>
              </w:rPr>
              <w:t>0.1%</w:t>
            </w:r>
          </w:p>
        </w:tc>
        <w:tc>
          <w:tcPr>
            <w:tcW w:type="dxa" w:w="1224"/>
          </w:tcPr>
          <w:p>
            <w:pPr>
              <w:spacing w:after="20" w:before="20"/>
              <w:jc w:val="right"/>
            </w:pPr>
            <w:r>
              <w:rPr>
                <w:rFonts w:ascii="Calibri" w:hAnsi="Calibri"/>
                <w:b w:val="0"/>
                <w:sz w:val="16"/>
              </w:rPr>
            </w:r>
            <w:r>
              <w:rPr>
                <w:rFonts w:ascii="Calibri" w:hAnsi="Calibri"/>
                <w:b w:val="0"/>
                <w:sz w:val="16"/>
              </w:rPr>
              <w:t>29.5</w:t>
            </w:r>
          </w:p>
        </w:tc>
        <w:tc>
          <w:tcPr>
            <w:tcW w:type="dxa" w:w="907"/>
          </w:tcPr>
          <w:p>
            <w:pPr>
              <w:spacing w:after="20" w:before="20"/>
              <w:jc w:val="right"/>
            </w:pPr>
            <w:r>
              <w:rPr>
                <w:rFonts w:ascii="Calibri" w:hAnsi="Calibri"/>
                <w:b w:val="0"/>
                <w:sz w:val="16"/>
              </w:rPr>
            </w:r>
            <w:r>
              <w:rPr>
                <w:rFonts w:ascii="Calibri" w:hAnsi="Calibri"/>
                <w:b w:val="0"/>
                <w:sz w:val="16"/>
              </w:rPr>
              <w:t>1.0</w:t>
            </w:r>
          </w:p>
        </w:tc>
        <w:tc>
          <w:tcPr>
            <w:tcW w:type="dxa" w:w="1037"/>
          </w:tcPr>
          <w:p>
            <w:pPr>
              <w:spacing w:after="20" w:before="20"/>
              <w:jc w:val="right"/>
            </w:pPr>
            <w:r>
              <w:rPr>
                <w:rFonts w:ascii="Calibri" w:hAnsi="Calibri"/>
                <w:b w:val="0"/>
                <w:sz w:val="16"/>
              </w:rPr>
            </w:r>
            <w:r>
              <w:rPr>
                <w:rFonts w:ascii="Calibri" w:hAnsi="Calibri"/>
                <w:b w:val="0"/>
                <w:sz w:val="16"/>
              </w:rPr>
              <w:t>£167</w:t>
            </w:r>
          </w:p>
        </w:tc>
      </w:tr>
      <w:tr>
        <w:tc>
          <w:tcPr>
            <w:tcW w:type="dxa" w:w="1800"/>
          </w:tcPr>
          <w:p>
            <w:pPr>
              <w:spacing w:after="20" w:before="20"/>
            </w:pPr>
            <w:r>
              <w:rPr>
                <w:rFonts w:ascii="Calibri" w:hAnsi="Calibri"/>
                <w:b w:val="0"/>
                <w:sz w:val="16"/>
              </w:rPr>
            </w:r>
            <w:r>
              <w:rPr>
                <w:rFonts w:ascii="Calibri" w:hAnsi="Calibri"/>
                <w:b w:val="0"/>
                <w:sz w:val="16"/>
              </w:rPr>
              <w:t>Hibernating</w:t>
            </w:r>
          </w:p>
        </w:tc>
        <w:tc>
          <w:tcPr>
            <w:tcW w:type="dxa" w:w="1037"/>
          </w:tcPr>
          <w:p>
            <w:pPr>
              <w:spacing w:after="20" w:before="20"/>
              <w:jc w:val="right"/>
            </w:pPr>
            <w:r>
              <w:rPr>
                <w:rFonts w:ascii="Calibri" w:hAnsi="Calibri"/>
                <w:b w:val="0"/>
                <w:sz w:val="16"/>
              </w:rPr>
            </w:r>
            <w:r>
              <w:rPr>
                <w:rFonts w:ascii="Calibri" w:hAnsi="Calibri"/>
                <w:b w:val="0"/>
                <w:sz w:val="16"/>
              </w:rPr>
              <w:t>714</w:t>
            </w:r>
          </w:p>
        </w:tc>
        <w:tc>
          <w:tcPr>
            <w:tcW w:type="dxa" w:w="1037"/>
          </w:tcPr>
          <w:p>
            <w:pPr>
              <w:spacing w:after="20" w:before="20"/>
              <w:jc w:val="right"/>
            </w:pPr>
            <w:r>
              <w:rPr>
                <w:rFonts w:ascii="Calibri" w:hAnsi="Calibri"/>
                <w:b w:val="0"/>
                <w:sz w:val="16"/>
              </w:rPr>
            </w:r>
            <w:r>
              <w:rPr>
                <w:rFonts w:ascii="Calibri" w:hAnsi="Calibri"/>
                <w:b w:val="0"/>
                <w:sz w:val="16"/>
              </w:rPr>
              <w:t>12.2%</w:t>
            </w:r>
          </w:p>
        </w:tc>
        <w:tc>
          <w:tcPr>
            <w:tcW w:type="dxa" w:w="1037"/>
          </w:tcPr>
          <w:p>
            <w:pPr>
              <w:spacing w:after="20" w:before="20"/>
              <w:jc w:val="right"/>
            </w:pPr>
            <w:r>
              <w:rPr>
                <w:rFonts w:ascii="Calibri" w:hAnsi="Calibri"/>
                <w:b w:val="0"/>
                <w:sz w:val="16"/>
              </w:rPr>
            </w:r>
            <w:r>
              <w:rPr>
                <w:rFonts w:ascii="Calibri" w:hAnsi="Calibri"/>
                <w:b w:val="0"/>
                <w:sz w:val="16"/>
              </w:rPr>
              <w:t>£282k</w:t>
            </w:r>
          </w:p>
        </w:tc>
        <w:tc>
          <w:tcPr>
            <w:tcW w:type="dxa" w:w="1123"/>
          </w:tcPr>
          <w:p>
            <w:pPr>
              <w:spacing w:after="20" w:before="20"/>
              <w:jc w:val="right"/>
            </w:pPr>
            <w:r>
              <w:rPr>
                <w:rFonts w:ascii="Calibri" w:hAnsi="Calibri"/>
                <w:b w:val="0"/>
                <w:sz w:val="16"/>
              </w:rPr>
            </w:r>
            <w:r>
              <w:rPr>
                <w:rFonts w:ascii="Calibri" w:hAnsi="Calibri"/>
                <w:b w:val="0"/>
                <w:sz w:val="16"/>
              </w:rPr>
              <w:t>1.6%</w:t>
            </w:r>
          </w:p>
        </w:tc>
        <w:tc>
          <w:tcPr>
            <w:tcW w:type="dxa" w:w="1224"/>
          </w:tcPr>
          <w:p>
            <w:pPr>
              <w:spacing w:after="20" w:before="20"/>
              <w:jc w:val="right"/>
            </w:pPr>
            <w:r>
              <w:rPr>
                <w:rFonts w:ascii="Calibri" w:hAnsi="Calibri"/>
                <w:b w:val="0"/>
                <w:sz w:val="16"/>
              </w:rPr>
            </w:r>
            <w:r>
              <w:rPr>
                <w:rFonts w:ascii="Calibri" w:hAnsi="Calibri"/>
                <w:b w:val="0"/>
                <w:sz w:val="16"/>
              </w:rPr>
              <w:t>314.6</w:t>
            </w:r>
          </w:p>
        </w:tc>
        <w:tc>
          <w:tcPr>
            <w:tcW w:type="dxa" w:w="907"/>
          </w:tcPr>
          <w:p>
            <w:pPr>
              <w:spacing w:after="20" w:before="20"/>
              <w:jc w:val="right"/>
            </w:pPr>
            <w:r>
              <w:rPr>
                <w:rFonts w:ascii="Calibri" w:hAnsi="Calibri"/>
                <w:b w:val="0"/>
                <w:sz w:val="16"/>
              </w:rPr>
            </w:r>
            <w:r>
              <w:rPr>
                <w:rFonts w:ascii="Calibri" w:hAnsi="Calibri"/>
                <w:b w:val="0"/>
                <w:sz w:val="16"/>
              </w:rPr>
              <w:t>1.5</w:t>
            </w:r>
          </w:p>
        </w:tc>
        <w:tc>
          <w:tcPr>
            <w:tcW w:type="dxa" w:w="1037"/>
          </w:tcPr>
          <w:p>
            <w:pPr>
              <w:spacing w:after="20" w:before="20"/>
              <w:jc w:val="right"/>
            </w:pPr>
            <w:r>
              <w:rPr>
                <w:rFonts w:ascii="Calibri" w:hAnsi="Calibri"/>
                <w:b w:val="0"/>
                <w:sz w:val="16"/>
              </w:rPr>
            </w:r>
            <w:r>
              <w:rPr>
                <w:rFonts w:ascii="Calibri" w:hAnsi="Calibri"/>
                <w:b w:val="0"/>
                <w:sz w:val="16"/>
              </w:rPr>
              <w:t>£394</w:t>
            </w:r>
          </w:p>
        </w:tc>
      </w:tr>
      <w:tr>
        <w:tc>
          <w:tcPr>
            <w:tcW w:type="dxa" w:w="1800"/>
          </w:tcPr>
          <w:p>
            <w:pPr>
              <w:spacing w:after="20" w:before="20"/>
            </w:pPr>
            <w:r>
              <w:rPr>
                <w:rFonts w:ascii="Calibri" w:hAnsi="Calibri"/>
                <w:b w:val="0"/>
                <w:sz w:val="16"/>
              </w:rPr>
            </w:r>
            <w:r>
              <w:rPr>
                <w:rFonts w:ascii="Calibri" w:hAnsi="Calibri"/>
                <w:b w:val="0"/>
                <w:sz w:val="16"/>
              </w:rPr>
              <w:t>Lost</w:t>
            </w:r>
          </w:p>
        </w:tc>
        <w:tc>
          <w:tcPr>
            <w:tcW w:type="dxa" w:w="1037"/>
          </w:tcPr>
          <w:p>
            <w:pPr>
              <w:spacing w:after="20" w:before="20"/>
              <w:jc w:val="right"/>
            </w:pPr>
            <w:r>
              <w:rPr>
                <w:rFonts w:ascii="Calibri" w:hAnsi="Calibri"/>
                <w:b w:val="0"/>
                <w:sz w:val="16"/>
              </w:rPr>
            </w:r>
            <w:r>
              <w:rPr>
                <w:rFonts w:ascii="Calibri" w:hAnsi="Calibri"/>
                <w:b w:val="0"/>
                <w:sz w:val="16"/>
              </w:rPr>
              <w:t>945</w:t>
            </w:r>
          </w:p>
        </w:tc>
        <w:tc>
          <w:tcPr>
            <w:tcW w:type="dxa" w:w="1037"/>
          </w:tcPr>
          <w:p>
            <w:pPr>
              <w:spacing w:after="20" w:before="20"/>
              <w:jc w:val="right"/>
            </w:pPr>
            <w:r>
              <w:rPr>
                <w:rFonts w:ascii="Calibri" w:hAnsi="Calibri"/>
                <w:b w:val="0"/>
                <w:sz w:val="16"/>
              </w:rPr>
            </w:r>
            <w:r>
              <w:rPr>
                <w:rFonts w:ascii="Calibri" w:hAnsi="Calibri"/>
                <w:b w:val="0"/>
                <w:sz w:val="16"/>
              </w:rPr>
              <w:t>16.1%</w:t>
            </w:r>
          </w:p>
        </w:tc>
        <w:tc>
          <w:tcPr>
            <w:tcW w:type="dxa" w:w="1037"/>
          </w:tcPr>
          <w:p>
            <w:pPr>
              <w:spacing w:after="20" w:before="20"/>
              <w:jc w:val="right"/>
            </w:pPr>
            <w:r>
              <w:rPr>
                <w:rFonts w:ascii="Calibri" w:hAnsi="Calibri"/>
                <w:b w:val="0"/>
                <w:sz w:val="16"/>
              </w:rPr>
            </w:r>
            <w:r>
              <w:rPr>
                <w:rFonts w:ascii="Calibri" w:hAnsi="Calibri"/>
                <w:b w:val="0"/>
                <w:sz w:val="16"/>
              </w:rPr>
              <w:t>£307k</w:t>
            </w:r>
          </w:p>
        </w:tc>
        <w:tc>
          <w:tcPr>
            <w:tcW w:type="dxa" w:w="1123"/>
          </w:tcPr>
          <w:p>
            <w:pPr>
              <w:spacing w:after="20" w:before="20"/>
              <w:jc w:val="right"/>
            </w:pPr>
            <w:r>
              <w:rPr>
                <w:rFonts w:ascii="Calibri" w:hAnsi="Calibri"/>
                <w:b w:val="0"/>
                <w:sz w:val="16"/>
              </w:rPr>
            </w:r>
            <w:r>
              <w:rPr>
                <w:rFonts w:ascii="Calibri" w:hAnsi="Calibri"/>
                <w:b w:val="0"/>
                <w:sz w:val="16"/>
              </w:rPr>
              <w:t>1.8%</w:t>
            </w:r>
          </w:p>
        </w:tc>
        <w:tc>
          <w:tcPr>
            <w:tcW w:type="dxa" w:w="1224"/>
          </w:tcPr>
          <w:p>
            <w:pPr>
              <w:spacing w:after="20" w:before="20"/>
              <w:jc w:val="right"/>
            </w:pPr>
            <w:r>
              <w:rPr>
                <w:rFonts w:ascii="Calibri" w:hAnsi="Calibri"/>
                <w:b w:val="0"/>
                <w:sz w:val="16"/>
              </w:rPr>
            </w:r>
            <w:r>
              <w:rPr>
                <w:rFonts w:ascii="Calibri" w:hAnsi="Calibri"/>
                <w:b w:val="0"/>
                <w:sz w:val="16"/>
              </w:rPr>
              <w:t>553.6</w:t>
            </w:r>
          </w:p>
        </w:tc>
        <w:tc>
          <w:tcPr>
            <w:tcW w:type="dxa" w:w="907"/>
          </w:tcPr>
          <w:p>
            <w:pPr>
              <w:spacing w:after="20" w:before="20"/>
              <w:jc w:val="right"/>
            </w:pPr>
            <w:r>
              <w:rPr>
                <w:rFonts w:ascii="Calibri" w:hAnsi="Calibri"/>
                <w:b w:val="0"/>
                <w:sz w:val="16"/>
              </w:rPr>
            </w:r>
            <w:r>
              <w:rPr>
                <w:rFonts w:ascii="Calibri" w:hAnsi="Calibri"/>
                <w:b w:val="0"/>
                <w:sz w:val="16"/>
              </w:rPr>
              <w:t>1.3</w:t>
            </w:r>
          </w:p>
        </w:tc>
        <w:tc>
          <w:tcPr>
            <w:tcW w:type="dxa" w:w="1037"/>
          </w:tcPr>
          <w:p>
            <w:pPr>
              <w:spacing w:after="20" w:before="20"/>
              <w:jc w:val="right"/>
            </w:pPr>
            <w:r>
              <w:rPr>
                <w:rFonts w:ascii="Calibri" w:hAnsi="Calibri"/>
                <w:b w:val="0"/>
                <w:sz w:val="16"/>
              </w:rPr>
            </w:r>
            <w:r>
              <w:rPr>
                <w:rFonts w:ascii="Calibri" w:hAnsi="Calibri"/>
                <w:b w:val="0"/>
                <w:sz w:val="16"/>
              </w:rPr>
              <w:t>£325</w:t>
            </w:r>
          </w:p>
        </w:tc>
      </w:tr>
    </w:tbl>
    <w:p/>
    <w:p>
      <w:r>
        <w:rPr>
          <w:b/>
          <w:i w:val="0"/>
        </w:rPr>
        <w:t>1,555 Champions - 26.6% of the base - account for £12,536,030, or 71.5% of all identified revenue.</w:t>
      </w:r>
      <w:r>
        <w:rPr>
          <w:b w:val="0"/>
          <w:i w:val="0"/>
        </w:rPr>
        <w:t xml:space="preserve"> They order roughly 15 times, last bought 20 days before the reference date, and spend £8,062 each.</w:t>
      </w:r>
    </w:p>
    <w:p>
      <w:r>
        <w:rPr>
          <w:b w:val="0"/>
          <w:i w:val="0"/>
        </w:rPr>
        <w:t xml:space="preserve">At the other end, 945 </w:t>
      </w:r>
      <w:r>
        <w:rPr>
          <w:b w:val="0"/>
          <w:i/>
        </w:rPr>
        <w:t>Lost</w:t>
      </w:r>
      <w:r>
        <w:rPr>
          <w:b w:val="0"/>
          <w:i w:val="0"/>
        </w:rPr>
        <w:t xml:space="preserve"> and 714 </w:t>
      </w:r>
      <w:r>
        <w:rPr>
          <w:b w:val="0"/>
          <w:i/>
        </w:rPr>
        <w:t>Hibernating</w:t>
      </w:r>
      <w:r>
        <w:rPr>
          <w:b w:val="0"/>
          <w:i w:val="0"/>
        </w:rPr>
        <w:t xml:space="preserve"> customers - 28.3% of the base between them - contribute 3.4% of identified revenue. They are numerous and nearly worthless, which is exactly why a base-wide campaign wastes most of its budget.</w:t>
      </w:r>
    </w:p>
    <w:p>
      <w:r>
        <w:rPr>
          <w:b w:val="0"/>
          <w:i w:val="0"/>
        </w:rPr>
        <w:t xml:space="preserve">The urgent group is neither. </w:t>
      </w:r>
      <w:r>
        <w:rPr>
          <w:b/>
          <w:i w:val="0"/>
        </w:rPr>
        <w:t xml:space="preserve">448 customers in </w:t>
      </w:r>
      <w:r>
        <w:rPr>
          <w:b/>
          <w:i/>
        </w:rPr>
        <w:t>Cannot lose them</w:t>
      </w:r>
      <w:r>
        <w:rPr>
          <w:b/>
          <w:i w:val="0"/>
        </w:rPr>
        <w:t xml:space="preserve"> and 235 in </w:t>
      </w:r>
      <w:r>
        <w:rPr>
          <w:b/>
          <w:i/>
        </w:rPr>
        <w:t>At risk</w:t>
      </w:r>
      <w:r>
        <w:rPr>
          <w:b/>
          <w:i w:val="0"/>
        </w:rPr>
        <w:t xml:space="preserve"> - 683 accounts - have already spent £1,689,620, which is 9.6% of identified revenue, and have stopped ordering.</w:t>
      </w:r>
      <w:r>
        <w:rPr>
          <w:b w:val="0"/>
          <w:i w:val="0"/>
        </w:rPr>
        <w:t xml:space="preserve"> </w:t>
      </w:r>
      <w:r>
        <w:rPr>
          <w:b w:val="0"/>
          <w:i/>
        </w:rPr>
        <w:t>Cannot lose them</w:t>
      </w:r>
      <w:r>
        <w:rPr>
          <w:b w:val="0"/>
          <w:i w:val="0"/>
        </w:rPr>
        <w:t xml:space="preserve"> last bought an average of 351 days ago having ordered 6.7 times and spent £3,226 each: proven buyers who went quiet, not casual browsers who never came back.</w:t>
      </w:r>
    </w:p>
    <w:p>
      <w:r>
        <w:rPr>
          <w:b w:val="0"/>
          <w:i w:val="0"/>
        </w:rPr>
        <w:t xml:space="preserve">The remaining segments matter for pipeline rather than revenue. </w:t>
      </w:r>
      <w:r>
        <w:rPr>
          <w:b w:val="0"/>
          <w:i/>
        </w:rPr>
        <w:t>Promising</w:t>
      </w:r>
      <w:r>
        <w:rPr>
          <w:b w:val="0"/>
          <w:i w:val="0"/>
        </w:rPr>
        <w:t xml:space="preserve"> (463), </w:t>
      </w:r>
      <w:r>
        <w:rPr>
          <w:b w:val="0"/>
          <w:i/>
        </w:rPr>
        <w:t>New</w:t>
      </w:r>
      <w:r>
        <w:rPr>
          <w:b w:val="0"/>
          <w:i w:val="0"/>
        </w:rPr>
        <w:t xml:space="preserve"> (95) and </w:t>
      </w:r>
      <w:r>
        <w:rPr>
          <w:b w:val="0"/>
          <w:i/>
        </w:rPr>
        <w:t>Needs attention</w:t>
      </w:r>
      <w:r>
        <w:rPr>
          <w:b w:val="0"/>
          <w:i w:val="0"/>
        </w:rPr>
        <w:t xml:space="preserve"> (440) hold 2.5% of identified revenue between them - they are where the next cohort of Champions has to come from, and they are cheap to nurture precisely because they are small.</w:t>
      </w:r>
    </w:p>
    <w:p>
      <w:r>
        <w:br w:type="page"/>
      </w:r>
    </w:p>
    <w:p>
      <w:pPr>
        <w:pStyle w:val="Heading1"/>
      </w:pPr>
      <w:r>
        <w:t>9.  Customer segmentation - K-Means</w:t>
      </w:r>
    </w:p>
    <w:p>
      <w:pPr>
        <w:pStyle w:val="Heading2"/>
      </w:pPr>
      <w:r>
        <w:t>9.1  Choosing k honestly</w:t>
      </w:r>
    </w:p>
    <w:p>
      <w:pPr>
        <w:spacing w:after="40"/>
        <w:jc w:val="center"/>
      </w:pPr>
      <w:r>
        <w:drawing>
          <wp:inline xmlns:a="http://schemas.openxmlformats.org/drawingml/2006/main" xmlns:pic="http://schemas.openxmlformats.org/drawingml/2006/picture">
            <wp:extent cx="5623560" cy="2021459"/>
            <wp:docPr id="10" name="Picture 10"/>
            <wp:cNvGraphicFramePr>
              <a:graphicFrameLocks noChangeAspect="1"/>
            </wp:cNvGraphicFramePr>
            <a:graphic>
              <a:graphicData uri="http://schemas.openxmlformats.org/drawingml/2006/picture">
                <pic:pic>
                  <pic:nvPicPr>
                    <pic:cNvPr id="0" name="10_kmeans_selection.png"/>
                    <pic:cNvPicPr/>
                  </pic:nvPicPr>
                  <pic:blipFill>
                    <a:blip r:embed="rId19"/>
                    <a:stretch>
                      <a:fillRect/>
                    </a:stretch>
                  </pic:blipFill>
                  <pic:spPr>
                    <a:xfrm>
                      <a:off x="0" y="0"/>
                      <a:ext cx="5623560" cy="2021459"/>
                    </a:xfrm>
                    <a:prstGeom prst="rect"/>
                  </pic:spPr>
                </pic:pic>
              </a:graphicData>
            </a:graphic>
          </wp:inline>
        </w:drawing>
      </w:r>
    </w:p>
    <w:p>
      <w:pPr>
        <w:spacing w:before="40" w:after="240"/>
        <w:jc w:val="center"/>
      </w:pPr>
      <w:r>
        <w:rPr>
          <w:b w:val="0"/>
          <w:i/>
          <w:color w:val="77776F"/>
          <w:sz w:val="17"/>
        </w:rPr>
        <w:t>Figure 10. Inertia and silhouette score for k = 2 to 8.</w:t>
      </w:r>
    </w:p>
    <w:p>
      <w:pPr>
        <w:spacing w:before="40" w:after="40"/>
        <w:jc w:val="left"/>
      </w:pPr>
      <w:r>
        <w:rPr>
          <w:b w:val="0"/>
          <w:i/>
          <w:color w:val="77776F"/>
          <w:sz w:val="17"/>
        </w:rPr>
        <w:t>Table 12. Cluster-count scan on log-scaled, standardised RFM features.</w:t>
      </w:r>
    </w:p>
    <w:tbl>
      <w:tblPr>
        <w:tblStyle w:val="LightGrid-Accent1"/>
        <w:tblW w:type="auto" w:w="0"/>
        <w:jc w:val="center"/>
        <w:tblLayout w:type="fixed"/>
        <w:tblLook w:firstColumn="1" w:firstRow="1" w:lastColumn="0" w:lastRow="0" w:noHBand="0" w:noVBand="1" w:val="04A0"/>
      </w:tblPr>
      <w:tblGrid>
        <w:gridCol w:w="3137"/>
        <w:gridCol w:w="3137"/>
        <w:gridCol w:w="3137"/>
      </w:tblGrid>
      <w:tr>
        <w:tc>
          <w:tcPr>
            <w:tcW w:type="dxa" w:w="1152"/>
          </w:tcPr>
          <w:p>
            <w:pPr>
              <w:spacing w:after="20" w:before="20"/>
            </w:pPr>
            <w:r>
              <w:rPr>
                <w:rFonts w:ascii="Calibri" w:hAnsi="Calibri"/>
                <w:b/>
                <w:sz w:val="19"/>
              </w:rPr>
            </w:r>
            <w:r>
              <w:rPr>
                <w:rFonts w:ascii="Calibri" w:hAnsi="Calibri"/>
                <w:b/>
                <w:sz w:val="19"/>
              </w:rPr>
              <w:t>k</w:t>
            </w:r>
          </w:p>
        </w:tc>
        <w:tc>
          <w:tcPr>
            <w:tcW w:type="dxa" w:w="2880"/>
          </w:tcPr>
          <w:p>
            <w:pPr>
              <w:spacing w:after="20" w:before="20"/>
              <w:jc w:val="right"/>
            </w:pPr>
            <w:r>
              <w:rPr>
                <w:rFonts w:ascii="Calibri" w:hAnsi="Calibri"/>
                <w:b/>
                <w:sz w:val="19"/>
              </w:rPr>
            </w:r>
            <w:r>
              <w:rPr>
                <w:rFonts w:ascii="Calibri" w:hAnsi="Calibri"/>
                <w:b/>
                <w:sz w:val="19"/>
              </w:rPr>
              <w:t>Inertia</w:t>
            </w:r>
          </w:p>
        </w:tc>
        <w:tc>
          <w:tcPr>
            <w:tcW w:type="dxa" w:w="2880"/>
          </w:tcPr>
          <w:p>
            <w:pPr>
              <w:spacing w:after="20" w:before="20"/>
              <w:jc w:val="right"/>
            </w:pPr>
            <w:r>
              <w:rPr>
                <w:rFonts w:ascii="Calibri" w:hAnsi="Calibri"/>
                <w:b/>
                <w:sz w:val="19"/>
              </w:rPr>
            </w:r>
            <w:r>
              <w:rPr>
                <w:rFonts w:ascii="Calibri" w:hAnsi="Calibri"/>
                <w:b/>
                <w:sz w:val="19"/>
              </w:rPr>
              <w:t>Silhouette</w:t>
            </w:r>
          </w:p>
        </w:tc>
      </w:tr>
      <w:tr>
        <w:tc>
          <w:tcPr>
            <w:tcW w:type="dxa" w:w="1152"/>
          </w:tcPr>
          <w:p>
            <w:pPr>
              <w:spacing w:after="20" w:before="20"/>
            </w:pPr>
            <w:r>
              <w:rPr>
                <w:rFonts w:ascii="Calibri" w:hAnsi="Calibri"/>
                <w:b w:val="0"/>
                <w:sz w:val="19"/>
              </w:rPr>
            </w:r>
            <w:r>
              <w:rPr>
                <w:rFonts w:ascii="Calibri" w:hAnsi="Calibri"/>
                <w:b w:val="0"/>
                <w:sz w:val="19"/>
              </w:rPr>
              <w:t>2</w:t>
            </w:r>
          </w:p>
        </w:tc>
        <w:tc>
          <w:tcPr>
            <w:tcW w:type="dxa" w:w="2880"/>
          </w:tcPr>
          <w:p>
            <w:pPr>
              <w:spacing w:after="20" w:before="20"/>
              <w:jc w:val="right"/>
            </w:pPr>
            <w:r>
              <w:rPr>
                <w:rFonts w:ascii="Calibri" w:hAnsi="Calibri"/>
                <w:b w:val="0"/>
                <w:sz w:val="19"/>
              </w:rPr>
            </w:r>
            <w:r>
              <w:rPr>
                <w:rFonts w:ascii="Calibri" w:hAnsi="Calibri"/>
                <w:b w:val="0"/>
                <w:sz w:val="19"/>
              </w:rPr>
              <w:t>8,564.8</w:t>
            </w:r>
          </w:p>
        </w:tc>
        <w:tc>
          <w:tcPr>
            <w:tcW w:type="dxa" w:w="2880"/>
          </w:tcPr>
          <w:p>
            <w:pPr>
              <w:spacing w:after="20" w:before="20"/>
              <w:jc w:val="right"/>
            </w:pPr>
            <w:r>
              <w:rPr>
                <w:rFonts w:ascii="Calibri" w:hAnsi="Calibri"/>
                <w:b w:val="0"/>
                <w:sz w:val="19"/>
              </w:rPr>
            </w:r>
            <w:r>
              <w:rPr>
                <w:rFonts w:ascii="Calibri" w:hAnsi="Calibri"/>
                <w:b w:val="0"/>
                <w:sz w:val="19"/>
              </w:rPr>
              <w:t>0.4376</w:t>
            </w:r>
          </w:p>
        </w:tc>
      </w:tr>
      <w:tr>
        <w:tc>
          <w:tcPr>
            <w:tcW w:type="dxa" w:w="1152"/>
          </w:tcPr>
          <w:p>
            <w:pPr>
              <w:spacing w:after="20" w:before="20"/>
            </w:pPr>
            <w:r>
              <w:rPr>
                <w:rFonts w:ascii="Calibri" w:hAnsi="Calibri"/>
                <w:b w:val="0"/>
                <w:sz w:val="19"/>
              </w:rPr>
            </w:r>
            <w:r>
              <w:rPr>
                <w:rFonts w:ascii="Calibri" w:hAnsi="Calibri"/>
                <w:b w:val="0"/>
                <w:sz w:val="19"/>
              </w:rPr>
              <w:t>3</w:t>
            </w:r>
          </w:p>
        </w:tc>
        <w:tc>
          <w:tcPr>
            <w:tcW w:type="dxa" w:w="2880"/>
          </w:tcPr>
          <w:p>
            <w:pPr>
              <w:spacing w:after="20" w:before="20"/>
              <w:jc w:val="right"/>
            </w:pPr>
            <w:r>
              <w:rPr>
                <w:rFonts w:ascii="Calibri" w:hAnsi="Calibri"/>
                <w:b w:val="0"/>
                <w:sz w:val="19"/>
              </w:rPr>
            </w:r>
            <w:r>
              <w:rPr>
                <w:rFonts w:ascii="Calibri" w:hAnsi="Calibri"/>
                <w:b w:val="0"/>
                <w:sz w:val="19"/>
              </w:rPr>
              <w:t>6,335.6</w:t>
            </w:r>
          </w:p>
        </w:tc>
        <w:tc>
          <w:tcPr>
            <w:tcW w:type="dxa" w:w="2880"/>
          </w:tcPr>
          <w:p>
            <w:pPr>
              <w:spacing w:after="20" w:before="20"/>
              <w:jc w:val="right"/>
            </w:pPr>
            <w:r>
              <w:rPr>
                <w:rFonts w:ascii="Calibri" w:hAnsi="Calibri"/>
                <w:b w:val="0"/>
                <w:sz w:val="19"/>
              </w:rPr>
            </w:r>
            <w:r>
              <w:rPr>
                <w:rFonts w:ascii="Calibri" w:hAnsi="Calibri"/>
                <w:b w:val="0"/>
                <w:sz w:val="19"/>
              </w:rPr>
              <w:t>0.3474</w:t>
            </w:r>
          </w:p>
        </w:tc>
      </w:tr>
      <w:tr>
        <w:tc>
          <w:tcPr>
            <w:tcW w:type="dxa" w:w="1152"/>
          </w:tcPr>
          <w:p>
            <w:pPr>
              <w:spacing w:after="20" w:before="20"/>
            </w:pPr>
            <w:r>
              <w:rPr>
                <w:rFonts w:ascii="Calibri" w:hAnsi="Calibri"/>
                <w:b w:val="0"/>
                <w:sz w:val="19"/>
              </w:rPr>
            </w:r>
            <w:r>
              <w:rPr>
                <w:rFonts w:ascii="Calibri" w:hAnsi="Calibri"/>
                <w:b w:val="0"/>
                <w:sz w:val="19"/>
              </w:rPr>
              <w:t>4</w:t>
            </w:r>
          </w:p>
        </w:tc>
        <w:tc>
          <w:tcPr>
            <w:tcW w:type="dxa" w:w="2880"/>
          </w:tcPr>
          <w:p>
            <w:pPr>
              <w:spacing w:after="20" w:before="20"/>
              <w:jc w:val="right"/>
            </w:pPr>
            <w:r>
              <w:rPr>
                <w:rFonts w:ascii="Calibri" w:hAnsi="Calibri"/>
                <w:b w:val="0"/>
                <w:sz w:val="19"/>
              </w:rPr>
            </w:r>
            <w:r>
              <w:rPr>
                <w:rFonts w:ascii="Calibri" w:hAnsi="Calibri"/>
                <w:b w:val="0"/>
                <w:sz w:val="19"/>
              </w:rPr>
              <w:t>4,904.2</w:t>
            </w:r>
          </w:p>
        </w:tc>
        <w:tc>
          <w:tcPr>
            <w:tcW w:type="dxa" w:w="2880"/>
          </w:tcPr>
          <w:p>
            <w:pPr>
              <w:spacing w:after="20" w:before="20"/>
              <w:jc w:val="right"/>
            </w:pPr>
            <w:r>
              <w:rPr>
                <w:rFonts w:ascii="Calibri" w:hAnsi="Calibri"/>
                <w:b w:val="0"/>
                <w:sz w:val="19"/>
              </w:rPr>
            </w:r>
            <w:r>
              <w:rPr>
                <w:rFonts w:ascii="Calibri" w:hAnsi="Calibri"/>
                <w:b w:val="0"/>
                <w:sz w:val="19"/>
              </w:rPr>
              <w:t>0.3649</w:t>
            </w:r>
          </w:p>
        </w:tc>
      </w:tr>
      <w:tr>
        <w:tc>
          <w:tcPr>
            <w:tcW w:type="dxa" w:w="1152"/>
          </w:tcPr>
          <w:p>
            <w:pPr>
              <w:spacing w:after="20" w:before="20"/>
            </w:pPr>
            <w:r>
              <w:rPr>
                <w:rFonts w:ascii="Calibri" w:hAnsi="Calibri"/>
                <w:b w:val="0"/>
                <w:sz w:val="19"/>
              </w:rPr>
            </w:r>
            <w:r>
              <w:rPr>
                <w:rFonts w:ascii="Calibri" w:hAnsi="Calibri"/>
                <w:b w:val="0"/>
                <w:sz w:val="19"/>
              </w:rPr>
              <w:t>5</w:t>
            </w:r>
          </w:p>
        </w:tc>
        <w:tc>
          <w:tcPr>
            <w:tcW w:type="dxa" w:w="2880"/>
          </w:tcPr>
          <w:p>
            <w:pPr>
              <w:spacing w:after="20" w:before="20"/>
              <w:jc w:val="right"/>
            </w:pPr>
            <w:r>
              <w:rPr>
                <w:rFonts w:ascii="Calibri" w:hAnsi="Calibri"/>
                <w:b w:val="0"/>
                <w:sz w:val="19"/>
              </w:rPr>
            </w:r>
            <w:r>
              <w:rPr>
                <w:rFonts w:ascii="Calibri" w:hAnsi="Calibri"/>
                <w:b w:val="0"/>
                <w:sz w:val="19"/>
              </w:rPr>
              <w:t>4,084.8</w:t>
            </w:r>
          </w:p>
        </w:tc>
        <w:tc>
          <w:tcPr>
            <w:tcW w:type="dxa" w:w="2880"/>
          </w:tcPr>
          <w:p>
            <w:pPr>
              <w:spacing w:after="20" w:before="20"/>
              <w:jc w:val="right"/>
            </w:pPr>
            <w:r>
              <w:rPr>
                <w:rFonts w:ascii="Calibri" w:hAnsi="Calibri"/>
                <w:b w:val="0"/>
                <w:sz w:val="19"/>
              </w:rPr>
            </w:r>
            <w:r>
              <w:rPr>
                <w:rFonts w:ascii="Calibri" w:hAnsi="Calibri"/>
                <w:b w:val="0"/>
                <w:sz w:val="19"/>
              </w:rPr>
              <w:t>0.3420</w:t>
            </w:r>
          </w:p>
        </w:tc>
      </w:tr>
      <w:tr>
        <w:tc>
          <w:tcPr>
            <w:tcW w:type="dxa" w:w="1152"/>
          </w:tcPr>
          <w:p>
            <w:pPr>
              <w:spacing w:after="20" w:before="20"/>
            </w:pPr>
            <w:r>
              <w:rPr>
                <w:rFonts w:ascii="Calibri" w:hAnsi="Calibri"/>
                <w:b w:val="0"/>
                <w:sz w:val="19"/>
              </w:rPr>
            </w:r>
            <w:r>
              <w:rPr>
                <w:rFonts w:ascii="Calibri" w:hAnsi="Calibri"/>
                <w:b w:val="0"/>
                <w:sz w:val="19"/>
              </w:rPr>
              <w:t>6</w:t>
            </w:r>
          </w:p>
        </w:tc>
        <w:tc>
          <w:tcPr>
            <w:tcW w:type="dxa" w:w="2880"/>
          </w:tcPr>
          <w:p>
            <w:pPr>
              <w:spacing w:after="20" w:before="20"/>
              <w:jc w:val="right"/>
            </w:pPr>
            <w:r>
              <w:rPr>
                <w:rFonts w:ascii="Calibri" w:hAnsi="Calibri"/>
                <w:b w:val="0"/>
                <w:sz w:val="19"/>
              </w:rPr>
            </w:r>
            <w:r>
              <w:rPr>
                <w:rFonts w:ascii="Calibri" w:hAnsi="Calibri"/>
                <w:b w:val="0"/>
                <w:sz w:val="19"/>
              </w:rPr>
              <w:t>3,543.2</w:t>
            </w:r>
          </w:p>
        </w:tc>
        <w:tc>
          <w:tcPr>
            <w:tcW w:type="dxa" w:w="2880"/>
          </w:tcPr>
          <w:p>
            <w:pPr>
              <w:spacing w:after="20" w:before="20"/>
              <w:jc w:val="right"/>
            </w:pPr>
            <w:r>
              <w:rPr>
                <w:rFonts w:ascii="Calibri" w:hAnsi="Calibri"/>
                <w:b w:val="0"/>
                <w:sz w:val="19"/>
              </w:rPr>
            </w:r>
            <w:r>
              <w:rPr>
                <w:rFonts w:ascii="Calibri" w:hAnsi="Calibri"/>
                <w:b w:val="0"/>
                <w:sz w:val="19"/>
              </w:rPr>
              <w:t>0.3324</w:t>
            </w:r>
          </w:p>
        </w:tc>
      </w:tr>
      <w:tr>
        <w:tc>
          <w:tcPr>
            <w:tcW w:type="dxa" w:w="1152"/>
          </w:tcPr>
          <w:p>
            <w:pPr>
              <w:spacing w:after="20" w:before="20"/>
            </w:pPr>
            <w:r>
              <w:rPr>
                <w:rFonts w:ascii="Calibri" w:hAnsi="Calibri"/>
                <w:b w:val="0"/>
                <w:sz w:val="19"/>
              </w:rPr>
            </w:r>
            <w:r>
              <w:rPr>
                <w:rFonts w:ascii="Calibri" w:hAnsi="Calibri"/>
                <w:b w:val="0"/>
                <w:sz w:val="19"/>
              </w:rPr>
              <w:t>7</w:t>
            </w:r>
          </w:p>
        </w:tc>
        <w:tc>
          <w:tcPr>
            <w:tcW w:type="dxa" w:w="2880"/>
          </w:tcPr>
          <w:p>
            <w:pPr>
              <w:spacing w:after="20" w:before="20"/>
              <w:jc w:val="right"/>
            </w:pPr>
            <w:r>
              <w:rPr>
                <w:rFonts w:ascii="Calibri" w:hAnsi="Calibri"/>
                <w:b w:val="0"/>
                <w:sz w:val="19"/>
              </w:rPr>
            </w:r>
            <w:r>
              <w:rPr>
                <w:rFonts w:ascii="Calibri" w:hAnsi="Calibri"/>
                <w:b w:val="0"/>
                <w:sz w:val="19"/>
              </w:rPr>
              <w:t>3,179.0</w:t>
            </w:r>
          </w:p>
        </w:tc>
        <w:tc>
          <w:tcPr>
            <w:tcW w:type="dxa" w:w="2880"/>
          </w:tcPr>
          <w:p>
            <w:pPr>
              <w:spacing w:after="20" w:before="20"/>
              <w:jc w:val="right"/>
            </w:pPr>
            <w:r>
              <w:rPr>
                <w:rFonts w:ascii="Calibri" w:hAnsi="Calibri"/>
                <w:b w:val="0"/>
                <w:sz w:val="19"/>
              </w:rPr>
            </w:r>
            <w:r>
              <w:rPr>
                <w:rFonts w:ascii="Calibri" w:hAnsi="Calibri"/>
                <w:b w:val="0"/>
                <w:sz w:val="19"/>
              </w:rPr>
              <w:t>0.3035</w:t>
            </w:r>
          </w:p>
        </w:tc>
      </w:tr>
      <w:tr>
        <w:tc>
          <w:tcPr>
            <w:tcW w:type="dxa" w:w="1152"/>
          </w:tcPr>
          <w:p>
            <w:pPr>
              <w:spacing w:after="20" w:before="20"/>
            </w:pPr>
            <w:r>
              <w:rPr>
                <w:rFonts w:ascii="Calibri" w:hAnsi="Calibri"/>
                <w:b w:val="0"/>
                <w:sz w:val="19"/>
              </w:rPr>
            </w:r>
            <w:r>
              <w:rPr>
                <w:rFonts w:ascii="Calibri" w:hAnsi="Calibri"/>
                <w:b w:val="0"/>
                <w:sz w:val="19"/>
              </w:rPr>
              <w:t>8</w:t>
            </w:r>
          </w:p>
        </w:tc>
        <w:tc>
          <w:tcPr>
            <w:tcW w:type="dxa" w:w="2880"/>
          </w:tcPr>
          <w:p>
            <w:pPr>
              <w:spacing w:after="20" w:before="20"/>
              <w:jc w:val="right"/>
            </w:pPr>
            <w:r>
              <w:rPr>
                <w:rFonts w:ascii="Calibri" w:hAnsi="Calibri"/>
                <w:b w:val="0"/>
                <w:sz w:val="19"/>
              </w:rPr>
            </w:r>
            <w:r>
              <w:rPr>
                <w:rFonts w:ascii="Calibri" w:hAnsi="Calibri"/>
                <w:b w:val="0"/>
                <w:sz w:val="19"/>
              </w:rPr>
              <w:t>2,887.0</w:t>
            </w:r>
          </w:p>
        </w:tc>
        <w:tc>
          <w:tcPr>
            <w:tcW w:type="dxa" w:w="2880"/>
          </w:tcPr>
          <w:p>
            <w:pPr>
              <w:spacing w:after="20" w:before="20"/>
              <w:jc w:val="right"/>
            </w:pPr>
            <w:r>
              <w:rPr>
                <w:rFonts w:ascii="Calibri" w:hAnsi="Calibri"/>
                <w:b w:val="0"/>
                <w:sz w:val="19"/>
              </w:rPr>
            </w:r>
            <w:r>
              <w:rPr>
                <w:rFonts w:ascii="Calibri" w:hAnsi="Calibri"/>
                <w:b w:val="0"/>
                <w:sz w:val="19"/>
              </w:rPr>
              <w:t>0.2956</w:t>
            </w:r>
          </w:p>
        </w:tc>
      </w:tr>
    </w:tbl>
    <w:p/>
    <w:p>
      <w:r>
        <w:rPr>
          <w:b w:val="0"/>
          <w:i w:val="0"/>
        </w:rPr>
        <w:t xml:space="preserve">The silhouette score is highest at </w:t>
      </w:r>
      <w:r>
        <w:rPr>
          <w:b/>
          <w:i w:val="0"/>
        </w:rPr>
        <w:t>k = 2 (0.4376)</w:t>
      </w:r>
      <w:r>
        <w:rPr>
          <w:b w:val="0"/>
          <w:i w:val="0"/>
        </w:rPr>
        <w:t xml:space="preserve">, and the value adopted here is </w:t>
      </w:r>
      <w:r>
        <w:rPr>
          <w:b/>
          <w:i w:val="0"/>
        </w:rPr>
        <w:t>k = 4 (0.3649)</w:t>
      </w:r>
      <w:r>
        <w:rPr>
          <w:b w:val="0"/>
          <w:i w:val="0"/>
        </w:rPr>
        <w:t>. That is a deliberate disagreement with the metric, for a stated reason: two clusters cannot be marketed to differently, so the split would be statistically neater and operationally useless. The elbow in inertia is also around the adopted k. The cost of the choice is reported rather than hidden.</w:t>
      </w:r>
    </w:p>
    <w:p>
      <w:pPr>
        <w:pStyle w:val="Heading2"/>
      </w:pPr>
      <w:r>
        <w:t>9.2  What the 4 clusters are</w:t>
      </w:r>
    </w:p>
    <w:p>
      <w:pPr>
        <w:spacing w:after="40"/>
        <w:jc w:val="center"/>
      </w:pPr>
      <w:r>
        <w:drawing>
          <wp:inline xmlns:a="http://schemas.openxmlformats.org/drawingml/2006/main" xmlns:pic="http://schemas.openxmlformats.org/drawingml/2006/picture">
            <wp:extent cx="5623560" cy="1776626"/>
            <wp:docPr id="11" name="Picture 11"/>
            <wp:cNvGraphicFramePr>
              <a:graphicFrameLocks noChangeAspect="1"/>
            </wp:cNvGraphicFramePr>
            <a:graphic>
              <a:graphicData uri="http://schemas.openxmlformats.org/drawingml/2006/picture">
                <pic:pic>
                  <pic:nvPicPr>
                    <pic:cNvPr id="0" name="11_cluster_profiles.png"/>
                    <pic:cNvPicPr/>
                  </pic:nvPicPr>
                  <pic:blipFill>
                    <a:blip r:embed="rId20"/>
                    <a:stretch>
                      <a:fillRect/>
                    </a:stretch>
                  </pic:blipFill>
                  <pic:spPr>
                    <a:xfrm>
                      <a:off x="0" y="0"/>
                      <a:ext cx="5623560" cy="1776626"/>
                    </a:xfrm>
                    <a:prstGeom prst="rect"/>
                  </pic:spPr>
                </pic:pic>
              </a:graphicData>
            </a:graphic>
          </wp:inline>
        </w:drawing>
      </w:r>
    </w:p>
    <w:p>
      <w:pPr>
        <w:spacing w:before="40" w:after="240"/>
        <w:jc w:val="center"/>
      </w:pPr>
      <w:r>
        <w:rPr>
          <w:b w:val="0"/>
          <w:i/>
          <w:color w:val="77776F"/>
          <w:sz w:val="17"/>
        </w:rPr>
        <w:t>Figure 11. Average recency, frequency and monetary value per cluster, shown as separate panels rather than on one shared axis.</w:t>
      </w:r>
    </w:p>
    <w:p>
      <w:pPr>
        <w:spacing w:before="40" w:after="40"/>
        <w:jc w:val="left"/>
      </w:pPr>
      <w:r>
        <w:rPr>
          <w:b w:val="0"/>
          <w:i/>
          <w:color w:val="77776F"/>
          <w:sz w:val="17"/>
        </w:rPr>
        <w:t>Table 13. Cluster profiles. Labels are assigned from the profile, after fitting.</w:t>
      </w:r>
    </w:p>
    <w:tbl>
      <w:tblPr>
        <w:tblStyle w:val="LightGrid-Accent1"/>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864"/>
          </w:tcPr>
          <w:p>
            <w:pPr>
              <w:spacing w:after="20" w:before="20"/>
            </w:pPr>
            <w:r>
              <w:rPr>
                <w:rFonts w:ascii="Calibri" w:hAnsi="Calibri"/>
                <w:b/>
                <w:sz w:val="16"/>
              </w:rPr>
            </w:r>
            <w:r>
              <w:rPr>
                <w:rFonts w:ascii="Calibri" w:hAnsi="Calibri"/>
                <w:b/>
                <w:sz w:val="16"/>
              </w:rPr>
              <w:t>Cluster</w:t>
            </w:r>
          </w:p>
        </w:tc>
        <w:tc>
          <w:tcPr>
            <w:tcW w:type="dxa" w:w="1944"/>
          </w:tcPr>
          <w:p>
            <w:pPr>
              <w:spacing w:after="20" w:before="20"/>
              <w:jc w:val="right"/>
            </w:pPr>
            <w:r>
              <w:rPr>
                <w:rFonts w:ascii="Calibri" w:hAnsi="Calibri"/>
                <w:b/>
                <w:sz w:val="16"/>
              </w:rPr>
            </w:r>
            <w:r>
              <w:rPr>
                <w:rFonts w:ascii="Calibri" w:hAnsi="Calibri"/>
                <w:b/>
                <w:sz w:val="16"/>
              </w:rPr>
              <w:t>Label</w:t>
            </w:r>
          </w:p>
        </w:tc>
        <w:tc>
          <w:tcPr>
            <w:tcW w:type="dxa" w:w="1080"/>
          </w:tcPr>
          <w:p>
            <w:pPr>
              <w:spacing w:after="20" w:before="20"/>
              <w:jc w:val="right"/>
            </w:pPr>
            <w:r>
              <w:rPr>
                <w:rFonts w:ascii="Calibri" w:hAnsi="Calibri"/>
                <w:b/>
                <w:sz w:val="16"/>
              </w:rPr>
            </w:r>
            <w:r>
              <w:rPr>
                <w:rFonts w:ascii="Calibri" w:hAnsi="Calibri"/>
                <w:b/>
                <w:sz w:val="16"/>
              </w:rPr>
              <w:t>Customers</w:t>
            </w:r>
          </w:p>
        </w:tc>
        <w:tc>
          <w:tcPr>
            <w:tcW w:type="dxa" w:w="1224"/>
          </w:tcPr>
          <w:p>
            <w:pPr>
              <w:spacing w:after="20" w:before="20"/>
              <w:jc w:val="right"/>
            </w:pPr>
            <w:r>
              <w:rPr>
                <w:rFonts w:ascii="Calibri" w:hAnsi="Calibri"/>
                <w:b/>
                <w:sz w:val="16"/>
              </w:rPr>
            </w:r>
            <w:r>
              <w:rPr>
                <w:rFonts w:ascii="Calibri" w:hAnsi="Calibri"/>
                <w:b/>
                <w:sz w:val="16"/>
              </w:rPr>
              <w:t>Avg recency (days)</w:t>
            </w:r>
          </w:p>
        </w:tc>
        <w:tc>
          <w:tcPr>
            <w:tcW w:type="dxa" w:w="936"/>
          </w:tcPr>
          <w:p>
            <w:pPr>
              <w:spacing w:after="20" w:before="20"/>
              <w:jc w:val="right"/>
            </w:pPr>
            <w:r>
              <w:rPr>
                <w:rFonts w:ascii="Calibri" w:hAnsi="Calibri"/>
                <w:b/>
                <w:sz w:val="16"/>
              </w:rPr>
            </w:r>
            <w:r>
              <w:rPr>
                <w:rFonts w:ascii="Calibri" w:hAnsi="Calibri"/>
                <w:b/>
                <w:sz w:val="16"/>
              </w:rPr>
              <w:t>Avg orders</w:t>
            </w:r>
          </w:p>
        </w:tc>
        <w:tc>
          <w:tcPr>
            <w:tcW w:type="dxa" w:w="1008"/>
          </w:tcPr>
          <w:p>
            <w:pPr>
              <w:spacing w:after="20" w:before="20"/>
              <w:jc w:val="right"/>
            </w:pPr>
            <w:r>
              <w:rPr>
                <w:rFonts w:ascii="Calibri" w:hAnsi="Calibri"/>
                <w:b/>
                <w:sz w:val="16"/>
              </w:rPr>
            </w:r>
            <w:r>
              <w:rPr>
                <w:rFonts w:ascii="Calibri" w:hAnsi="Calibri"/>
                <w:b/>
                <w:sz w:val="16"/>
              </w:rPr>
              <w:t>Avg spend</w:t>
            </w:r>
          </w:p>
        </w:tc>
        <w:tc>
          <w:tcPr>
            <w:tcW w:type="dxa" w:w="936"/>
          </w:tcPr>
          <w:p>
            <w:pPr>
              <w:spacing w:after="20" w:before="20"/>
              <w:jc w:val="right"/>
            </w:pPr>
            <w:r>
              <w:rPr>
                <w:rFonts w:ascii="Calibri" w:hAnsi="Calibri"/>
                <w:b/>
                <w:sz w:val="16"/>
              </w:rPr>
            </w:r>
            <w:r>
              <w:rPr>
                <w:rFonts w:ascii="Calibri" w:hAnsi="Calibri"/>
                <w:b/>
                <w:sz w:val="16"/>
              </w:rPr>
              <w:t>Revenue</w:t>
            </w:r>
          </w:p>
        </w:tc>
        <w:tc>
          <w:tcPr>
            <w:tcW w:type="dxa" w:w="864"/>
          </w:tcPr>
          <w:p>
            <w:pPr>
              <w:spacing w:after="20" w:before="20"/>
              <w:jc w:val="right"/>
            </w:pPr>
            <w:r>
              <w:rPr>
                <w:rFonts w:ascii="Calibri" w:hAnsi="Calibri"/>
                <w:b/>
                <w:sz w:val="16"/>
              </w:rPr>
            </w:r>
            <w:r>
              <w:rPr>
                <w:rFonts w:ascii="Calibri" w:hAnsi="Calibri"/>
                <w:b/>
                <w:sz w:val="16"/>
              </w:rPr>
              <w:t>% of identified revenue</w:t>
            </w:r>
          </w:p>
        </w:tc>
      </w:tr>
      <w:tr>
        <w:tc>
          <w:tcPr>
            <w:tcW w:type="dxa" w:w="864"/>
          </w:tcPr>
          <w:p>
            <w:pPr>
              <w:spacing w:after="20" w:before="20"/>
            </w:pPr>
            <w:r>
              <w:rPr>
                <w:rFonts w:ascii="Calibri" w:hAnsi="Calibri"/>
                <w:b w:val="0"/>
                <w:sz w:val="16"/>
              </w:rPr>
            </w:r>
            <w:r>
              <w:rPr>
                <w:rFonts w:ascii="Calibri" w:hAnsi="Calibri"/>
                <w:b w:val="0"/>
                <w:sz w:val="16"/>
              </w:rPr>
              <w:t>0</w:t>
            </w:r>
          </w:p>
        </w:tc>
        <w:tc>
          <w:tcPr>
            <w:tcW w:type="dxa" w:w="1944"/>
          </w:tcPr>
          <w:p>
            <w:pPr>
              <w:spacing w:after="20" w:before="20"/>
              <w:jc w:val="right"/>
            </w:pPr>
            <w:r>
              <w:rPr>
                <w:rFonts w:ascii="Calibri" w:hAnsi="Calibri"/>
                <w:b w:val="0"/>
                <w:sz w:val="16"/>
              </w:rPr>
            </w:r>
            <w:r>
              <w:rPr>
                <w:rFonts w:ascii="Calibri" w:hAnsi="Calibri"/>
                <w:b w:val="0"/>
                <w:sz w:val="16"/>
              </w:rPr>
              <w:t>Mid-value active</w:t>
            </w:r>
          </w:p>
        </w:tc>
        <w:tc>
          <w:tcPr>
            <w:tcW w:type="dxa" w:w="1080"/>
          </w:tcPr>
          <w:p>
            <w:pPr>
              <w:spacing w:after="20" w:before="20"/>
              <w:jc w:val="right"/>
            </w:pPr>
            <w:r>
              <w:rPr>
                <w:rFonts w:ascii="Calibri" w:hAnsi="Calibri"/>
                <w:b w:val="0"/>
                <w:sz w:val="16"/>
              </w:rPr>
            </w:r>
            <w:r>
              <w:rPr>
                <w:rFonts w:ascii="Calibri" w:hAnsi="Calibri"/>
                <w:b w:val="0"/>
                <w:sz w:val="16"/>
              </w:rPr>
              <w:t>1,458</w:t>
            </w:r>
          </w:p>
        </w:tc>
        <w:tc>
          <w:tcPr>
            <w:tcW w:type="dxa" w:w="1224"/>
          </w:tcPr>
          <w:p>
            <w:pPr>
              <w:spacing w:after="20" w:before="20"/>
              <w:jc w:val="right"/>
            </w:pPr>
            <w:r>
              <w:rPr>
                <w:rFonts w:ascii="Calibri" w:hAnsi="Calibri"/>
                <w:b w:val="0"/>
                <w:sz w:val="16"/>
              </w:rPr>
            </w:r>
            <w:r>
              <w:rPr>
                <w:rFonts w:ascii="Calibri" w:hAnsi="Calibri"/>
                <w:b w:val="0"/>
                <w:sz w:val="16"/>
              </w:rPr>
              <w:t>228.0</w:t>
            </w:r>
          </w:p>
        </w:tc>
        <w:tc>
          <w:tcPr>
            <w:tcW w:type="dxa" w:w="936"/>
          </w:tcPr>
          <w:p>
            <w:pPr>
              <w:spacing w:after="20" w:before="20"/>
              <w:jc w:val="right"/>
            </w:pPr>
            <w:r>
              <w:rPr>
                <w:rFonts w:ascii="Calibri" w:hAnsi="Calibri"/>
                <w:b w:val="0"/>
                <w:sz w:val="16"/>
              </w:rPr>
            </w:r>
            <w:r>
              <w:rPr>
                <w:rFonts w:ascii="Calibri" w:hAnsi="Calibri"/>
                <w:b w:val="0"/>
                <w:sz w:val="16"/>
              </w:rPr>
              <w:t>5.1</w:t>
            </w:r>
          </w:p>
        </w:tc>
        <w:tc>
          <w:tcPr>
            <w:tcW w:type="dxa" w:w="1008"/>
          </w:tcPr>
          <w:p>
            <w:pPr>
              <w:spacing w:after="20" w:before="20"/>
              <w:jc w:val="right"/>
            </w:pPr>
            <w:r>
              <w:rPr>
                <w:rFonts w:ascii="Calibri" w:hAnsi="Calibri"/>
                <w:b w:val="0"/>
                <w:sz w:val="16"/>
              </w:rPr>
            </w:r>
            <w:r>
              <w:rPr>
                <w:rFonts w:ascii="Calibri" w:hAnsi="Calibri"/>
                <w:b w:val="0"/>
                <w:sz w:val="16"/>
              </w:rPr>
              <w:t>£2,004</w:t>
            </w:r>
          </w:p>
        </w:tc>
        <w:tc>
          <w:tcPr>
            <w:tcW w:type="dxa" w:w="936"/>
          </w:tcPr>
          <w:p>
            <w:pPr>
              <w:spacing w:after="20" w:before="20"/>
              <w:jc w:val="right"/>
            </w:pPr>
            <w:r>
              <w:rPr>
                <w:rFonts w:ascii="Calibri" w:hAnsi="Calibri"/>
                <w:b w:val="0"/>
                <w:sz w:val="16"/>
              </w:rPr>
            </w:r>
            <w:r>
              <w:rPr>
                <w:rFonts w:ascii="Calibri" w:hAnsi="Calibri"/>
                <w:b w:val="0"/>
                <w:sz w:val="16"/>
              </w:rPr>
              <w:t>£2.92M</w:t>
            </w:r>
          </w:p>
        </w:tc>
        <w:tc>
          <w:tcPr>
            <w:tcW w:type="dxa" w:w="864"/>
          </w:tcPr>
          <w:p>
            <w:pPr>
              <w:spacing w:after="20" w:before="20"/>
              <w:jc w:val="right"/>
            </w:pPr>
            <w:r>
              <w:rPr>
                <w:rFonts w:ascii="Calibri" w:hAnsi="Calibri"/>
                <w:b w:val="0"/>
                <w:sz w:val="16"/>
              </w:rPr>
            </w:r>
            <w:r>
              <w:rPr>
                <w:rFonts w:ascii="Calibri" w:hAnsi="Calibri"/>
                <w:b w:val="0"/>
                <w:sz w:val="16"/>
              </w:rPr>
              <w:t>16.7%</w:t>
            </w:r>
          </w:p>
        </w:tc>
      </w:tr>
      <w:tr>
        <w:tc>
          <w:tcPr>
            <w:tcW w:type="dxa" w:w="864"/>
          </w:tcPr>
          <w:p>
            <w:pPr>
              <w:spacing w:after="20" w:before="20"/>
            </w:pPr>
            <w:r>
              <w:rPr>
                <w:rFonts w:ascii="Calibri" w:hAnsi="Calibri"/>
                <w:b w:val="0"/>
                <w:sz w:val="16"/>
              </w:rPr>
            </w:r>
            <w:r>
              <w:rPr>
                <w:rFonts w:ascii="Calibri" w:hAnsi="Calibri"/>
                <w:b w:val="0"/>
                <w:sz w:val="16"/>
              </w:rPr>
              <w:t>1</w:t>
            </w:r>
          </w:p>
        </w:tc>
        <w:tc>
          <w:tcPr>
            <w:tcW w:type="dxa" w:w="1944"/>
          </w:tcPr>
          <w:p>
            <w:pPr>
              <w:spacing w:after="20" w:before="20"/>
              <w:jc w:val="right"/>
            </w:pPr>
            <w:r>
              <w:rPr>
                <w:rFonts w:ascii="Calibri" w:hAnsi="Calibri"/>
                <w:b w:val="0"/>
                <w:sz w:val="16"/>
              </w:rPr>
            </w:r>
            <w:r>
              <w:rPr>
                <w:rFonts w:ascii="Calibri" w:hAnsi="Calibri"/>
                <w:b w:val="0"/>
                <w:sz w:val="16"/>
              </w:rPr>
              <w:t>Low-value occasional</w:t>
            </w:r>
          </w:p>
        </w:tc>
        <w:tc>
          <w:tcPr>
            <w:tcW w:type="dxa" w:w="1080"/>
          </w:tcPr>
          <w:p>
            <w:pPr>
              <w:spacing w:after="20" w:before="20"/>
              <w:jc w:val="right"/>
            </w:pPr>
            <w:r>
              <w:rPr>
                <w:rFonts w:ascii="Calibri" w:hAnsi="Calibri"/>
                <w:b w:val="0"/>
                <w:sz w:val="16"/>
              </w:rPr>
            </w:r>
            <w:r>
              <w:rPr>
                <w:rFonts w:ascii="Calibri" w:hAnsi="Calibri"/>
                <w:b w:val="0"/>
                <w:sz w:val="16"/>
              </w:rPr>
              <w:t>1,247</w:t>
            </w:r>
          </w:p>
        </w:tc>
        <w:tc>
          <w:tcPr>
            <w:tcW w:type="dxa" w:w="1224"/>
          </w:tcPr>
          <w:p>
            <w:pPr>
              <w:spacing w:after="20" w:before="20"/>
              <w:jc w:val="right"/>
            </w:pPr>
            <w:r>
              <w:rPr>
                <w:rFonts w:ascii="Calibri" w:hAnsi="Calibri"/>
                <w:b w:val="0"/>
                <w:sz w:val="16"/>
              </w:rPr>
            </w:r>
            <w:r>
              <w:rPr>
                <w:rFonts w:ascii="Calibri" w:hAnsi="Calibri"/>
                <w:b w:val="0"/>
                <w:sz w:val="16"/>
              </w:rPr>
              <w:t>28.2</w:t>
            </w:r>
          </w:p>
        </w:tc>
        <w:tc>
          <w:tcPr>
            <w:tcW w:type="dxa" w:w="936"/>
          </w:tcPr>
          <w:p>
            <w:pPr>
              <w:spacing w:after="20" w:before="20"/>
              <w:jc w:val="right"/>
            </w:pPr>
            <w:r>
              <w:rPr>
                <w:rFonts w:ascii="Calibri" w:hAnsi="Calibri"/>
                <w:b w:val="0"/>
                <w:sz w:val="16"/>
              </w:rPr>
            </w:r>
            <w:r>
              <w:rPr>
                <w:rFonts w:ascii="Calibri" w:hAnsi="Calibri"/>
                <w:b w:val="0"/>
                <w:sz w:val="16"/>
              </w:rPr>
              <w:t>3.0</w:t>
            </w:r>
          </w:p>
        </w:tc>
        <w:tc>
          <w:tcPr>
            <w:tcW w:type="dxa" w:w="1008"/>
          </w:tcPr>
          <w:p>
            <w:pPr>
              <w:spacing w:after="20" w:before="20"/>
              <w:jc w:val="right"/>
            </w:pPr>
            <w:r>
              <w:rPr>
                <w:rFonts w:ascii="Calibri" w:hAnsi="Calibri"/>
                <w:b w:val="0"/>
                <w:sz w:val="16"/>
              </w:rPr>
            </w:r>
            <w:r>
              <w:rPr>
                <w:rFonts w:ascii="Calibri" w:hAnsi="Calibri"/>
                <w:b w:val="0"/>
                <w:sz w:val="16"/>
              </w:rPr>
              <w:t>£861</w:t>
            </w:r>
          </w:p>
        </w:tc>
        <w:tc>
          <w:tcPr>
            <w:tcW w:type="dxa" w:w="936"/>
          </w:tcPr>
          <w:p>
            <w:pPr>
              <w:spacing w:after="20" w:before="20"/>
              <w:jc w:val="right"/>
            </w:pPr>
            <w:r>
              <w:rPr>
                <w:rFonts w:ascii="Calibri" w:hAnsi="Calibri"/>
                <w:b w:val="0"/>
                <w:sz w:val="16"/>
              </w:rPr>
            </w:r>
            <w:r>
              <w:rPr>
                <w:rFonts w:ascii="Calibri" w:hAnsi="Calibri"/>
                <w:b w:val="0"/>
                <w:sz w:val="16"/>
              </w:rPr>
              <w:t>£1.07M</w:t>
            </w:r>
          </w:p>
        </w:tc>
        <w:tc>
          <w:tcPr>
            <w:tcW w:type="dxa" w:w="864"/>
          </w:tcPr>
          <w:p>
            <w:pPr>
              <w:spacing w:after="20" w:before="20"/>
              <w:jc w:val="right"/>
            </w:pPr>
            <w:r>
              <w:rPr>
                <w:rFonts w:ascii="Calibri" w:hAnsi="Calibri"/>
                <w:b w:val="0"/>
                <w:sz w:val="16"/>
              </w:rPr>
            </w:r>
            <w:r>
              <w:rPr>
                <w:rFonts w:ascii="Calibri" w:hAnsi="Calibri"/>
                <w:b w:val="0"/>
                <w:sz w:val="16"/>
              </w:rPr>
              <w:t>6.1%</w:t>
            </w:r>
          </w:p>
        </w:tc>
      </w:tr>
      <w:tr>
        <w:tc>
          <w:tcPr>
            <w:tcW w:type="dxa" w:w="864"/>
          </w:tcPr>
          <w:p>
            <w:pPr>
              <w:spacing w:after="20" w:before="20"/>
            </w:pPr>
            <w:r>
              <w:rPr>
                <w:rFonts w:ascii="Calibri" w:hAnsi="Calibri"/>
                <w:b w:val="0"/>
                <w:sz w:val="16"/>
              </w:rPr>
            </w:r>
            <w:r>
              <w:rPr>
                <w:rFonts w:ascii="Calibri" w:hAnsi="Calibri"/>
                <w:b w:val="0"/>
                <w:sz w:val="16"/>
              </w:rPr>
              <w:t>2</w:t>
            </w:r>
          </w:p>
        </w:tc>
        <w:tc>
          <w:tcPr>
            <w:tcW w:type="dxa" w:w="1944"/>
          </w:tcPr>
          <w:p>
            <w:pPr>
              <w:spacing w:after="20" w:before="20"/>
              <w:jc w:val="right"/>
            </w:pPr>
            <w:r>
              <w:rPr>
                <w:rFonts w:ascii="Calibri" w:hAnsi="Calibri"/>
                <w:b w:val="0"/>
                <w:sz w:val="16"/>
              </w:rPr>
            </w:r>
            <w:r>
              <w:rPr>
                <w:rFonts w:ascii="Calibri" w:hAnsi="Calibri"/>
                <w:b w:val="0"/>
                <w:sz w:val="16"/>
              </w:rPr>
              <w:t>Dormant low-value</w:t>
            </w:r>
          </w:p>
        </w:tc>
        <w:tc>
          <w:tcPr>
            <w:tcW w:type="dxa" w:w="1080"/>
          </w:tcPr>
          <w:p>
            <w:pPr>
              <w:spacing w:after="20" w:before="20"/>
              <w:jc w:val="right"/>
            </w:pPr>
            <w:r>
              <w:rPr>
                <w:rFonts w:ascii="Calibri" w:hAnsi="Calibri"/>
                <w:b w:val="0"/>
                <w:sz w:val="16"/>
              </w:rPr>
            </w:r>
            <w:r>
              <w:rPr>
                <w:rFonts w:ascii="Calibri" w:hAnsi="Calibri"/>
                <w:b w:val="0"/>
                <w:sz w:val="16"/>
              </w:rPr>
              <w:t>1,963</w:t>
            </w:r>
          </w:p>
        </w:tc>
        <w:tc>
          <w:tcPr>
            <w:tcW w:type="dxa" w:w="1224"/>
          </w:tcPr>
          <w:p>
            <w:pPr>
              <w:spacing w:after="20" w:before="20"/>
              <w:jc w:val="right"/>
            </w:pPr>
            <w:r>
              <w:rPr>
                <w:rFonts w:ascii="Calibri" w:hAnsi="Calibri"/>
                <w:b w:val="0"/>
                <w:sz w:val="16"/>
              </w:rPr>
            </w:r>
            <w:r>
              <w:rPr>
                <w:rFonts w:ascii="Calibri" w:hAnsi="Calibri"/>
                <w:b w:val="0"/>
                <w:sz w:val="16"/>
              </w:rPr>
              <w:t>393.3</w:t>
            </w:r>
          </w:p>
        </w:tc>
        <w:tc>
          <w:tcPr>
            <w:tcW w:type="dxa" w:w="936"/>
          </w:tcPr>
          <w:p>
            <w:pPr>
              <w:spacing w:after="20" w:before="20"/>
              <w:jc w:val="right"/>
            </w:pPr>
            <w:r>
              <w:rPr>
                <w:rFonts w:ascii="Calibri" w:hAnsi="Calibri"/>
                <w:b w:val="0"/>
                <w:sz w:val="16"/>
              </w:rPr>
            </w:r>
            <w:r>
              <w:rPr>
                <w:rFonts w:ascii="Calibri" w:hAnsi="Calibri"/>
                <w:b w:val="0"/>
                <w:sz w:val="16"/>
              </w:rPr>
              <w:t>1.4</w:t>
            </w:r>
          </w:p>
        </w:tc>
        <w:tc>
          <w:tcPr>
            <w:tcW w:type="dxa" w:w="1008"/>
          </w:tcPr>
          <w:p>
            <w:pPr>
              <w:spacing w:after="20" w:before="20"/>
              <w:jc w:val="right"/>
            </w:pPr>
            <w:r>
              <w:rPr>
                <w:rFonts w:ascii="Calibri" w:hAnsi="Calibri"/>
                <w:b w:val="0"/>
                <w:sz w:val="16"/>
              </w:rPr>
            </w:r>
            <w:r>
              <w:rPr>
                <w:rFonts w:ascii="Calibri" w:hAnsi="Calibri"/>
                <w:b w:val="0"/>
                <w:sz w:val="16"/>
              </w:rPr>
              <w:t>£323</w:t>
            </w:r>
          </w:p>
        </w:tc>
        <w:tc>
          <w:tcPr>
            <w:tcW w:type="dxa" w:w="936"/>
          </w:tcPr>
          <w:p>
            <w:pPr>
              <w:spacing w:after="20" w:before="20"/>
              <w:jc w:val="right"/>
            </w:pPr>
            <w:r>
              <w:rPr>
                <w:rFonts w:ascii="Calibri" w:hAnsi="Calibri"/>
                <w:b w:val="0"/>
                <w:sz w:val="16"/>
              </w:rPr>
            </w:r>
            <w:r>
              <w:rPr>
                <w:rFonts w:ascii="Calibri" w:hAnsi="Calibri"/>
                <w:b w:val="0"/>
                <w:sz w:val="16"/>
              </w:rPr>
              <w:t>£634k</w:t>
            </w:r>
          </w:p>
        </w:tc>
        <w:tc>
          <w:tcPr>
            <w:tcW w:type="dxa" w:w="864"/>
          </w:tcPr>
          <w:p>
            <w:pPr>
              <w:spacing w:after="20" w:before="20"/>
              <w:jc w:val="right"/>
            </w:pPr>
            <w:r>
              <w:rPr>
                <w:rFonts w:ascii="Calibri" w:hAnsi="Calibri"/>
                <w:b w:val="0"/>
                <w:sz w:val="16"/>
              </w:rPr>
            </w:r>
            <w:r>
              <w:rPr>
                <w:rFonts w:ascii="Calibri" w:hAnsi="Calibri"/>
                <w:b w:val="0"/>
                <w:sz w:val="16"/>
              </w:rPr>
              <w:t>3.6%</w:t>
            </w:r>
          </w:p>
        </w:tc>
      </w:tr>
      <w:tr>
        <w:tc>
          <w:tcPr>
            <w:tcW w:type="dxa" w:w="864"/>
          </w:tcPr>
          <w:p>
            <w:pPr>
              <w:spacing w:after="20" w:before="20"/>
            </w:pPr>
            <w:r>
              <w:rPr>
                <w:rFonts w:ascii="Calibri" w:hAnsi="Calibri"/>
                <w:b w:val="0"/>
                <w:sz w:val="16"/>
              </w:rPr>
            </w:r>
            <w:r>
              <w:rPr>
                <w:rFonts w:ascii="Calibri" w:hAnsi="Calibri"/>
                <w:b w:val="0"/>
                <w:sz w:val="16"/>
              </w:rPr>
              <w:t>3</w:t>
            </w:r>
          </w:p>
        </w:tc>
        <w:tc>
          <w:tcPr>
            <w:tcW w:type="dxa" w:w="1944"/>
          </w:tcPr>
          <w:p>
            <w:pPr>
              <w:spacing w:after="20" w:before="20"/>
              <w:jc w:val="right"/>
            </w:pPr>
            <w:r>
              <w:rPr>
                <w:rFonts w:ascii="Calibri" w:hAnsi="Calibri"/>
                <w:b w:val="0"/>
                <w:sz w:val="16"/>
              </w:rPr>
            </w:r>
            <w:r>
              <w:rPr>
                <w:rFonts w:ascii="Calibri" w:hAnsi="Calibri"/>
                <w:b w:val="0"/>
                <w:sz w:val="16"/>
              </w:rPr>
              <w:t>High-value regulars</w:t>
            </w:r>
          </w:p>
        </w:tc>
        <w:tc>
          <w:tcPr>
            <w:tcW w:type="dxa" w:w="1080"/>
          </w:tcPr>
          <w:p>
            <w:pPr>
              <w:spacing w:after="20" w:before="20"/>
              <w:jc w:val="right"/>
            </w:pPr>
            <w:r>
              <w:rPr>
                <w:rFonts w:ascii="Calibri" w:hAnsi="Calibri"/>
                <w:b w:val="0"/>
                <w:sz w:val="16"/>
              </w:rPr>
            </w:r>
            <w:r>
              <w:rPr>
                <w:rFonts w:ascii="Calibri" w:hAnsi="Calibri"/>
                <w:b w:val="0"/>
                <w:sz w:val="16"/>
              </w:rPr>
              <w:t>1,186</w:t>
            </w:r>
          </w:p>
        </w:tc>
        <w:tc>
          <w:tcPr>
            <w:tcW w:type="dxa" w:w="1224"/>
          </w:tcPr>
          <w:p>
            <w:pPr>
              <w:spacing w:after="20" w:before="20"/>
              <w:jc w:val="right"/>
            </w:pPr>
            <w:r>
              <w:rPr>
                <w:rFonts w:ascii="Calibri" w:hAnsi="Calibri"/>
                <w:b w:val="0"/>
                <w:sz w:val="16"/>
              </w:rPr>
            </w:r>
            <w:r>
              <w:rPr>
                <w:rFonts w:ascii="Calibri" w:hAnsi="Calibri"/>
                <w:b w:val="0"/>
                <w:sz w:val="16"/>
              </w:rPr>
              <w:t>27.7</w:t>
            </w:r>
          </w:p>
        </w:tc>
        <w:tc>
          <w:tcPr>
            <w:tcW w:type="dxa" w:w="936"/>
          </w:tcPr>
          <w:p>
            <w:pPr>
              <w:spacing w:after="20" w:before="20"/>
              <w:jc w:val="right"/>
            </w:pPr>
            <w:r>
              <w:rPr>
                <w:rFonts w:ascii="Calibri" w:hAnsi="Calibri"/>
                <w:b w:val="0"/>
                <w:sz w:val="16"/>
              </w:rPr>
            </w:r>
            <w:r>
              <w:rPr>
                <w:rFonts w:ascii="Calibri" w:hAnsi="Calibri"/>
                <w:b w:val="0"/>
                <w:sz w:val="16"/>
              </w:rPr>
              <w:t>19.2</w:t>
            </w:r>
          </w:p>
        </w:tc>
        <w:tc>
          <w:tcPr>
            <w:tcW w:type="dxa" w:w="1008"/>
          </w:tcPr>
          <w:p>
            <w:pPr>
              <w:spacing w:after="20" w:before="20"/>
              <w:jc w:val="right"/>
            </w:pPr>
            <w:r>
              <w:rPr>
                <w:rFonts w:ascii="Calibri" w:hAnsi="Calibri"/>
                <w:b w:val="0"/>
                <w:sz w:val="16"/>
              </w:rPr>
            </w:r>
            <w:r>
              <w:rPr>
                <w:rFonts w:ascii="Calibri" w:hAnsi="Calibri"/>
                <w:b w:val="0"/>
                <w:sz w:val="16"/>
              </w:rPr>
              <w:t>£10,875</w:t>
            </w:r>
          </w:p>
        </w:tc>
        <w:tc>
          <w:tcPr>
            <w:tcW w:type="dxa" w:w="936"/>
          </w:tcPr>
          <w:p>
            <w:pPr>
              <w:spacing w:after="20" w:before="20"/>
              <w:jc w:val="right"/>
            </w:pPr>
            <w:r>
              <w:rPr>
                <w:rFonts w:ascii="Calibri" w:hAnsi="Calibri"/>
                <w:b w:val="0"/>
                <w:sz w:val="16"/>
              </w:rPr>
            </w:r>
            <w:r>
              <w:rPr>
                <w:rFonts w:ascii="Calibri" w:hAnsi="Calibri"/>
                <w:b w:val="0"/>
                <w:sz w:val="16"/>
              </w:rPr>
              <w:t>£12.90M</w:t>
            </w:r>
          </w:p>
        </w:tc>
        <w:tc>
          <w:tcPr>
            <w:tcW w:type="dxa" w:w="864"/>
          </w:tcPr>
          <w:p>
            <w:pPr>
              <w:spacing w:after="20" w:before="20"/>
              <w:jc w:val="right"/>
            </w:pPr>
            <w:r>
              <w:rPr>
                <w:rFonts w:ascii="Calibri" w:hAnsi="Calibri"/>
                <w:b w:val="0"/>
                <w:sz w:val="16"/>
              </w:rPr>
            </w:r>
            <w:r>
              <w:rPr>
                <w:rFonts w:ascii="Calibri" w:hAnsi="Calibri"/>
                <w:b w:val="0"/>
                <w:sz w:val="16"/>
              </w:rPr>
              <w:t>73.6%</w:t>
            </w:r>
          </w:p>
        </w:tc>
      </w:tr>
    </w:tbl>
    <w:p/>
    <w:p>
      <w:pPr>
        <w:spacing w:after="40"/>
        <w:jc w:val="center"/>
      </w:pPr>
      <w:r>
        <w:drawing>
          <wp:inline xmlns:a="http://schemas.openxmlformats.org/drawingml/2006/main" xmlns:pic="http://schemas.openxmlformats.org/drawingml/2006/picture">
            <wp:extent cx="5623560" cy="3619864"/>
            <wp:docPr id="12" name="Picture 12"/>
            <wp:cNvGraphicFramePr>
              <a:graphicFrameLocks noChangeAspect="1"/>
            </wp:cNvGraphicFramePr>
            <a:graphic>
              <a:graphicData uri="http://schemas.openxmlformats.org/drawingml/2006/picture">
                <pic:pic>
                  <pic:nvPicPr>
                    <pic:cNvPr id="0" name="12_cluster_scatter.png"/>
                    <pic:cNvPicPr/>
                  </pic:nvPicPr>
                  <pic:blipFill>
                    <a:blip r:embed="rId21"/>
                    <a:stretch>
                      <a:fillRect/>
                    </a:stretch>
                  </pic:blipFill>
                  <pic:spPr>
                    <a:xfrm>
                      <a:off x="0" y="0"/>
                      <a:ext cx="5623560" cy="3619864"/>
                    </a:xfrm>
                    <a:prstGeom prst="rect"/>
                  </pic:spPr>
                </pic:pic>
              </a:graphicData>
            </a:graphic>
          </wp:inline>
        </w:drawing>
      </w:r>
    </w:p>
    <w:p>
      <w:pPr>
        <w:spacing w:before="40" w:after="240"/>
        <w:jc w:val="center"/>
      </w:pPr>
      <w:r>
        <w:rPr>
          <w:b w:val="0"/>
          <w:i/>
          <w:color w:val="77776F"/>
          <w:sz w:val="17"/>
        </w:rPr>
        <w:t>Figure 12. Customers in frequency-monetary space, coloured by cluster, both axes log-scaled.</w:t>
      </w:r>
    </w:p>
    <w:p>
      <w:r>
        <w:rPr>
          <w:b w:val="0"/>
          <w:i w:val="0"/>
        </w:rPr>
        <w:t xml:space="preserve">The clusters separate cleanly on value and activity. </w:t>
      </w:r>
      <w:r>
        <w:rPr>
          <w:b/>
          <w:i w:val="0"/>
        </w:rPr>
        <w:t>1,186 “High-value regulars” carry 73.6% of identified revenue</w:t>
      </w:r>
      <w:r>
        <w:rPr>
          <w:b w:val="0"/>
          <w:i w:val="0"/>
        </w:rPr>
        <w:t xml:space="preserve"> on an average of 19.2 orders and £10,875 of spend, while the largest cluster by headcount - 1,963 “Dormant low-value” - carries 3.6%. The clustering finds the same imbalance the RFM rules found, from a completely different starting point.</w:t>
      </w:r>
    </w:p>
    <w:p>
      <w:pPr>
        <w:pStyle w:val="Heading2"/>
      </w:pPr>
      <w:r>
        <w:t>9.3  Do the two methods agree?</w:t>
      </w:r>
    </w:p>
    <w:p>
      <w:r>
        <w:rPr>
          <w:b w:val="0"/>
          <w:i w:val="0"/>
        </w:rPr>
        <w:t xml:space="preserve">This is the point of running both. K-Means was given no rules, no segment names and no thresholds, and </w:t>
      </w:r>
      <w:r>
        <w:rPr>
          <w:b/>
          <w:i w:val="0"/>
        </w:rPr>
        <w:t>every one of the nine rule-based segments sends at least 60% of its members to a single cluster</w:t>
      </w:r>
      <w:r>
        <w:rPr>
          <w:b w:val="0"/>
          <w:i w:val="0"/>
        </w:rPr>
        <w:t xml:space="preserve"> (100% of segments clear that bar). </w:t>
      </w:r>
      <w:r>
        <w:rPr>
          <w:b w:val="0"/>
          <w:i/>
        </w:rPr>
        <w:t>Cannot lose them</w:t>
      </w:r>
      <w:r>
        <w:rPr>
          <w:b w:val="0"/>
          <w:i w:val="0"/>
        </w:rPr>
        <w:t xml:space="preserve"> maps 96.7% onto one cluster and </w:t>
      </w:r>
      <w:r>
        <w:rPr>
          <w:b w:val="0"/>
          <w:i/>
        </w:rPr>
        <w:t>Lost</w:t>
      </w:r>
      <w:r>
        <w:rPr>
          <w:b w:val="0"/>
          <w:i w:val="0"/>
        </w:rPr>
        <w:t xml:space="preserve"> maps 98.4% onto another; the weakest agreement, </w:t>
      </w:r>
      <w:r>
        <w:rPr>
          <w:b w:val="0"/>
          <w:i/>
        </w:rPr>
        <w:t>Loyal</w:t>
      </w:r>
      <w:r>
        <w:rPr>
          <w:b w:val="0"/>
          <w:i w:val="0"/>
        </w:rPr>
        <w:t>, is still 60.9%.</w:t>
      </w:r>
    </w:p>
    <w:p>
      <w:r>
        <w:rPr>
          <w:b w:val="0"/>
          <w:i w:val="0"/>
        </w:rPr>
        <w:t>Read carefully, this is agreement between two methods rather than corroboration by two independent bodies of evidence: both read the same three R/F/M features off the same rows, so they cannot disagree about the underlying facts. What they disagree about is where to draw the boundaries - fixed quintile thresholds against distances in a standardised log space - and the fact that 80.5% of customers (4,710 of 5,854) land in their own segment's modal cluster says the group structure survives that change of rule. That is weaker than independent confirmation and still enough for the practical consequence: the transparent, explainable RFM rules can be used to run the business, with the clustering standing behind them as a robustness check.</w:t>
      </w:r>
    </w:p>
    <w:p>
      <w:r>
        <w:br w:type="page"/>
      </w:r>
    </w:p>
    <w:p>
      <w:pPr>
        <w:pStyle w:val="Heading1"/>
      </w:pPr>
      <w:r>
        <w:t>10.  Customer lifetime value</w:t>
      </w:r>
    </w:p>
    <w:p>
      <w:pPr>
        <w:spacing w:after="40"/>
        <w:jc w:val="center"/>
      </w:pPr>
      <w:r>
        <w:drawing>
          <wp:inline xmlns:a="http://schemas.openxmlformats.org/drawingml/2006/main" xmlns:pic="http://schemas.openxmlformats.org/drawingml/2006/picture">
            <wp:extent cx="5623560" cy="2873748"/>
            <wp:docPr id="13" name="Picture 13"/>
            <wp:cNvGraphicFramePr>
              <a:graphicFrameLocks noChangeAspect="1"/>
            </wp:cNvGraphicFramePr>
            <a:graphic>
              <a:graphicData uri="http://schemas.openxmlformats.org/drawingml/2006/picture">
                <pic:pic>
                  <pic:nvPicPr>
                    <pic:cNvPr id="0" name="13_clv_by_segment.png"/>
                    <pic:cNvPicPr/>
                  </pic:nvPicPr>
                  <pic:blipFill>
                    <a:blip r:embed="rId22"/>
                    <a:stretch>
                      <a:fillRect/>
                    </a:stretch>
                  </pic:blipFill>
                  <pic:spPr>
                    <a:xfrm>
                      <a:off x="0" y="0"/>
                      <a:ext cx="5623560" cy="2873748"/>
                    </a:xfrm>
                    <a:prstGeom prst="rect"/>
                  </pic:spPr>
                </pic:pic>
              </a:graphicData>
            </a:graphic>
          </wp:inline>
        </w:drawing>
      </w:r>
    </w:p>
    <w:p>
      <w:pPr>
        <w:spacing w:before="40" w:after="240"/>
        <w:jc w:val="center"/>
      </w:pPr>
      <w:r>
        <w:rPr>
          <w:b w:val="0"/>
          <w:i/>
          <w:color w:val="77776F"/>
          <w:sz w:val="17"/>
        </w:rPr>
        <w:t>Figure 13. Historical value already realised against projected 12-month value, by segment.</w:t>
      </w:r>
    </w:p>
    <w:p>
      <w:pPr>
        <w:spacing w:before="40" w:after="40"/>
        <w:jc w:val="left"/>
      </w:pPr>
      <w:r>
        <w:rPr>
          <w:b w:val="0"/>
          <w:i/>
          <w:color w:val="77776F"/>
          <w:sz w:val="17"/>
        </w:rPr>
        <w:t>Table 14. Historical and projected value per segment.</w:t>
      </w:r>
    </w:p>
    <w:tbl>
      <w:tblPr>
        <w:tblStyle w:val="LightGrid-Accent1"/>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2016"/>
          </w:tcPr>
          <w:p>
            <w:pPr>
              <w:spacing w:after="20" w:before="20"/>
            </w:pPr>
            <w:r>
              <w:rPr>
                <w:rFonts w:ascii="Calibri" w:hAnsi="Calibri"/>
                <w:b/>
                <w:sz w:val="17"/>
              </w:rPr>
            </w:r>
            <w:r>
              <w:rPr>
                <w:rFonts w:ascii="Calibri" w:hAnsi="Calibri"/>
                <w:b/>
                <w:sz w:val="17"/>
              </w:rPr>
              <w:t>Segment</w:t>
            </w:r>
          </w:p>
        </w:tc>
        <w:tc>
          <w:tcPr>
            <w:tcW w:type="dxa" w:w="1152"/>
          </w:tcPr>
          <w:p>
            <w:pPr>
              <w:spacing w:after="20" w:before="20"/>
              <w:jc w:val="right"/>
            </w:pPr>
            <w:r>
              <w:rPr>
                <w:rFonts w:ascii="Calibri" w:hAnsi="Calibri"/>
                <w:b/>
                <w:sz w:val="17"/>
              </w:rPr>
            </w:r>
            <w:r>
              <w:rPr>
                <w:rFonts w:ascii="Calibri" w:hAnsi="Calibri"/>
                <w:b/>
                <w:sz w:val="17"/>
              </w:rPr>
              <w:t>Customers</w:t>
            </w:r>
          </w:p>
        </w:tc>
        <w:tc>
          <w:tcPr>
            <w:tcW w:type="dxa" w:w="1512"/>
          </w:tcPr>
          <w:p>
            <w:pPr>
              <w:spacing w:after="20" w:before="20"/>
              <w:jc w:val="right"/>
            </w:pPr>
            <w:r>
              <w:rPr>
                <w:rFonts w:ascii="Calibri" w:hAnsi="Calibri"/>
                <w:b/>
                <w:sz w:val="17"/>
              </w:rPr>
            </w:r>
            <w:r>
              <w:rPr>
                <w:rFonts w:ascii="Calibri" w:hAnsi="Calibri"/>
                <w:b/>
                <w:sz w:val="17"/>
              </w:rPr>
              <w:t>Historical CLV</w:t>
            </w:r>
          </w:p>
        </w:tc>
        <w:tc>
          <w:tcPr>
            <w:tcW w:type="dxa" w:w="1368"/>
          </w:tcPr>
          <w:p>
            <w:pPr>
              <w:spacing w:after="20" w:before="20"/>
              <w:jc w:val="right"/>
            </w:pPr>
            <w:r>
              <w:rPr>
                <w:rFonts w:ascii="Calibri" w:hAnsi="Calibri"/>
                <w:b/>
                <w:sz w:val="17"/>
              </w:rPr>
            </w:r>
            <w:r>
              <w:rPr>
                <w:rFonts w:ascii="Calibri" w:hAnsi="Calibri"/>
                <w:b/>
                <w:sz w:val="17"/>
              </w:rPr>
              <w:t>Projected 12M</w:t>
            </w:r>
          </w:p>
        </w:tc>
        <w:tc>
          <w:tcPr>
            <w:tcW w:type="dxa" w:w="1440"/>
          </w:tcPr>
          <w:p>
            <w:pPr>
              <w:spacing w:after="20" w:before="20"/>
              <w:jc w:val="right"/>
            </w:pPr>
            <w:r>
              <w:rPr>
                <w:rFonts w:ascii="Calibri" w:hAnsi="Calibri"/>
                <w:b/>
                <w:sz w:val="17"/>
              </w:rPr>
            </w:r>
            <w:r>
              <w:rPr>
                <w:rFonts w:ascii="Calibri" w:hAnsi="Calibri"/>
                <w:b/>
                <w:sz w:val="17"/>
              </w:rPr>
              <w:t>Pool projected</w:t>
            </w:r>
          </w:p>
        </w:tc>
        <w:tc>
          <w:tcPr>
            <w:tcW w:type="dxa" w:w="1080"/>
          </w:tcPr>
          <w:p>
            <w:pPr>
              <w:spacing w:after="20" w:before="20"/>
              <w:jc w:val="right"/>
            </w:pPr>
            <w:r>
              <w:rPr>
                <w:rFonts w:ascii="Calibri" w:hAnsi="Calibri"/>
                <w:b/>
                <w:sz w:val="17"/>
              </w:rPr>
            </w:r>
            <w:r>
              <w:rPr>
                <w:rFonts w:ascii="Calibri" w:hAnsi="Calibri"/>
                <w:b/>
                <w:sz w:val="17"/>
              </w:rPr>
              <w:t>% of pool</w:t>
            </w:r>
          </w:p>
        </w:tc>
      </w:tr>
      <w:tr>
        <w:tc>
          <w:tcPr>
            <w:tcW w:type="dxa" w:w="2016"/>
          </w:tcPr>
          <w:p>
            <w:pPr>
              <w:spacing w:after="20" w:before="20"/>
            </w:pPr>
            <w:r>
              <w:rPr>
                <w:rFonts w:ascii="Calibri" w:hAnsi="Calibri"/>
                <w:b w:val="0"/>
                <w:sz w:val="17"/>
              </w:rPr>
            </w:r>
            <w:r>
              <w:rPr>
                <w:rFonts w:ascii="Calibri" w:hAnsi="Calibri"/>
                <w:b w:val="0"/>
                <w:sz w:val="17"/>
              </w:rPr>
              <w:t>Champions</w:t>
            </w:r>
          </w:p>
        </w:tc>
        <w:tc>
          <w:tcPr>
            <w:tcW w:type="dxa" w:w="1152"/>
          </w:tcPr>
          <w:p>
            <w:pPr>
              <w:spacing w:after="20" w:before="20"/>
              <w:jc w:val="right"/>
            </w:pPr>
            <w:r>
              <w:rPr>
                <w:rFonts w:ascii="Calibri" w:hAnsi="Calibri"/>
                <w:b w:val="0"/>
                <w:sz w:val="17"/>
              </w:rPr>
            </w:r>
            <w:r>
              <w:rPr>
                <w:rFonts w:ascii="Calibri" w:hAnsi="Calibri"/>
                <w:b w:val="0"/>
                <w:sz w:val="17"/>
              </w:rPr>
              <w:t>1,555</w:t>
            </w:r>
          </w:p>
        </w:tc>
        <w:tc>
          <w:tcPr>
            <w:tcW w:type="dxa" w:w="1512"/>
          </w:tcPr>
          <w:p>
            <w:pPr>
              <w:spacing w:after="20" w:before="20"/>
              <w:jc w:val="right"/>
            </w:pPr>
            <w:r>
              <w:rPr>
                <w:rFonts w:ascii="Calibri" w:hAnsi="Calibri"/>
                <w:b w:val="0"/>
                <w:sz w:val="17"/>
              </w:rPr>
            </w:r>
            <w:r>
              <w:rPr>
                <w:rFonts w:ascii="Calibri" w:hAnsi="Calibri"/>
                <w:b w:val="0"/>
                <w:sz w:val="17"/>
              </w:rPr>
              <w:t>£8,062</w:t>
            </w:r>
          </w:p>
        </w:tc>
        <w:tc>
          <w:tcPr>
            <w:tcW w:type="dxa" w:w="1368"/>
          </w:tcPr>
          <w:p>
            <w:pPr>
              <w:spacing w:after="20" w:before="20"/>
              <w:jc w:val="right"/>
            </w:pPr>
            <w:r>
              <w:rPr>
                <w:rFonts w:ascii="Calibri" w:hAnsi="Calibri"/>
                <w:b w:val="0"/>
                <w:sz w:val="17"/>
              </w:rPr>
            </w:r>
            <w:r>
              <w:rPr>
                <w:rFonts w:ascii="Calibri" w:hAnsi="Calibri"/>
                <w:b w:val="0"/>
                <w:sz w:val="17"/>
              </w:rPr>
              <w:t>£5,989</w:t>
            </w:r>
          </w:p>
        </w:tc>
        <w:tc>
          <w:tcPr>
            <w:tcW w:type="dxa" w:w="1440"/>
          </w:tcPr>
          <w:p>
            <w:pPr>
              <w:spacing w:after="20" w:before="20"/>
              <w:jc w:val="right"/>
            </w:pPr>
            <w:r>
              <w:rPr>
                <w:rFonts w:ascii="Calibri" w:hAnsi="Calibri"/>
                <w:b w:val="0"/>
                <w:sz w:val="17"/>
              </w:rPr>
            </w:r>
            <w:r>
              <w:rPr>
                <w:rFonts w:ascii="Calibri" w:hAnsi="Calibri"/>
                <w:b w:val="0"/>
                <w:sz w:val="17"/>
              </w:rPr>
              <w:t>£9.31M</w:t>
            </w:r>
          </w:p>
        </w:tc>
        <w:tc>
          <w:tcPr>
            <w:tcW w:type="dxa" w:w="1080"/>
          </w:tcPr>
          <w:p>
            <w:pPr>
              <w:spacing w:after="20" w:before="20"/>
              <w:jc w:val="right"/>
            </w:pPr>
            <w:r>
              <w:rPr>
                <w:rFonts w:ascii="Calibri" w:hAnsi="Calibri"/>
                <w:b w:val="0"/>
                <w:sz w:val="17"/>
              </w:rPr>
            </w:r>
            <w:r>
              <w:rPr>
                <w:rFonts w:ascii="Calibri" w:hAnsi="Calibri"/>
                <w:b w:val="0"/>
                <w:sz w:val="17"/>
              </w:rPr>
              <w:t>37.1%</w:t>
            </w:r>
          </w:p>
        </w:tc>
      </w:tr>
      <w:tr>
        <w:tc>
          <w:tcPr>
            <w:tcW w:type="dxa" w:w="2016"/>
          </w:tcPr>
          <w:p>
            <w:pPr>
              <w:spacing w:after="20" w:before="20"/>
            </w:pPr>
            <w:r>
              <w:rPr>
                <w:rFonts w:ascii="Calibri" w:hAnsi="Calibri"/>
                <w:b w:val="0"/>
                <w:sz w:val="17"/>
              </w:rPr>
            </w:r>
            <w:r>
              <w:rPr>
                <w:rFonts w:ascii="Calibri" w:hAnsi="Calibri"/>
                <w:b w:val="0"/>
                <w:sz w:val="17"/>
              </w:rPr>
              <w:t>Loyal</w:t>
            </w:r>
          </w:p>
        </w:tc>
        <w:tc>
          <w:tcPr>
            <w:tcW w:type="dxa" w:w="1152"/>
          </w:tcPr>
          <w:p>
            <w:pPr>
              <w:spacing w:after="20" w:before="20"/>
              <w:jc w:val="right"/>
            </w:pPr>
            <w:r>
              <w:rPr>
                <w:rFonts w:ascii="Calibri" w:hAnsi="Calibri"/>
                <w:b w:val="0"/>
                <w:sz w:val="17"/>
              </w:rPr>
            </w:r>
            <w:r>
              <w:rPr>
                <w:rFonts w:ascii="Calibri" w:hAnsi="Calibri"/>
                <w:b w:val="0"/>
                <w:sz w:val="17"/>
              </w:rPr>
              <w:t>959</w:t>
            </w:r>
          </w:p>
        </w:tc>
        <w:tc>
          <w:tcPr>
            <w:tcW w:type="dxa" w:w="1512"/>
          </w:tcPr>
          <w:p>
            <w:pPr>
              <w:spacing w:after="20" w:before="20"/>
              <w:jc w:val="right"/>
            </w:pPr>
            <w:r>
              <w:rPr>
                <w:rFonts w:ascii="Calibri" w:hAnsi="Calibri"/>
                <w:b w:val="0"/>
                <w:sz w:val="17"/>
              </w:rPr>
            </w:r>
            <w:r>
              <w:rPr>
                <w:rFonts w:ascii="Calibri" w:hAnsi="Calibri"/>
                <w:b w:val="0"/>
                <w:sz w:val="17"/>
              </w:rPr>
              <w:t>£2,391</w:t>
            </w:r>
          </w:p>
        </w:tc>
        <w:tc>
          <w:tcPr>
            <w:tcW w:type="dxa" w:w="1368"/>
          </w:tcPr>
          <w:p>
            <w:pPr>
              <w:spacing w:after="20" w:before="20"/>
              <w:jc w:val="right"/>
            </w:pPr>
            <w:r>
              <w:rPr>
                <w:rFonts w:ascii="Calibri" w:hAnsi="Calibri"/>
                <w:b w:val="0"/>
                <w:sz w:val="17"/>
              </w:rPr>
            </w:r>
            <w:r>
              <w:rPr>
                <w:rFonts w:ascii="Calibri" w:hAnsi="Calibri"/>
                <w:b w:val="0"/>
                <w:sz w:val="17"/>
              </w:rPr>
              <w:t>£3,405</w:t>
            </w:r>
          </w:p>
        </w:tc>
        <w:tc>
          <w:tcPr>
            <w:tcW w:type="dxa" w:w="1440"/>
          </w:tcPr>
          <w:p>
            <w:pPr>
              <w:spacing w:after="20" w:before="20"/>
              <w:jc w:val="right"/>
            </w:pPr>
            <w:r>
              <w:rPr>
                <w:rFonts w:ascii="Calibri" w:hAnsi="Calibri"/>
                <w:b w:val="0"/>
                <w:sz w:val="17"/>
              </w:rPr>
            </w:r>
            <w:r>
              <w:rPr>
                <w:rFonts w:ascii="Calibri" w:hAnsi="Calibri"/>
                <w:b w:val="0"/>
                <w:sz w:val="17"/>
              </w:rPr>
              <w:t>£3.27M</w:t>
            </w:r>
          </w:p>
        </w:tc>
        <w:tc>
          <w:tcPr>
            <w:tcW w:type="dxa" w:w="1080"/>
          </w:tcPr>
          <w:p>
            <w:pPr>
              <w:spacing w:after="20" w:before="20"/>
              <w:jc w:val="right"/>
            </w:pPr>
            <w:r>
              <w:rPr>
                <w:rFonts w:ascii="Calibri" w:hAnsi="Calibri"/>
                <w:b w:val="0"/>
                <w:sz w:val="17"/>
              </w:rPr>
            </w:r>
            <w:r>
              <w:rPr>
                <w:rFonts w:ascii="Calibri" w:hAnsi="Calibri"/>
                <w:b w:val="0"/>
                <w:sz w:val="17"/>
              </w:rPr>
              <w:t>13.0%</w:t>
            </w:r>
          </w:p>
        </w:tc>
      </w:tr>
      <w:tr>
        <w:tc>
          <w:tcPr>
            <w:tcW w:type="dxa" w:w="2016"/>
          </w:tcPr>
          <w:p>
            <w:pPr>
              <w:spacing w:after="20" w:before="20"/>
            </w:pPr>
            <w:r>
              <w:rPr>
                <w:rFonts w:ascii="Calibri" w:hAnsi="Calibri"/>
                <w:b w:val="0"/>
                <w:sz w:val="17"/>
              </w:rPr>
            </w:r>
            <w:r>
              <w:rPr>
                <w:rFonts w:ascii="Calibri" w:hAnsi="Calibri"/>
                <w:b w:val="0"/>
                <w:sz w:val="17"/>
              </w:rPr>
              <w:t>Cannot lose them</w:t>
            </w:r>
          </w:p>
        </w:tc>
        <w:tc>
          <w:tcPr>
            <w:tcW w:type="dxa" w:w="1152"/>
          </w:tcPr>
          <w:p>
            <w:pPr>
              <w:spacing w:after="20" w:before="20"/>
              <w:jc w:val="right"/>
            </w:pPr>
            <w:r>
              <w:rPr>
                <w:rFonts w:ascii="Calibri" w:hAnsi="Calibri"/>
                <w:b w:val="0"/>
                <w:sz w:val="17"/>
              </w:rPr>
            </w:r>
            <w:r>
              <w:rPr>
                <w:rFonts w:ascii="Calibri" w:hAnsi="Calibri"/>
                <w:b w:val="0"/>
                <w:sz w:val="17"/>
              </w:rPr>
              <w:t>448</w:t>
            </w:r>
          </w:p>
        </w:tc>
        <w:tc>
          <w:tcPr>
            <w:tcW w:type="dxa" w:w="1512"/>
          </w:tcPr>
          <w:p>
            <w:pPr>
              <w:spacing w:after="20" w:before="20"/>
              <w:jc w:val="right"/>
            </w:pPr>
            <w:r>
              <w:rPr>
                <w:rFonts w:ascii="Calibri" w:hAnsi="Calibri"/>
                <w:b w:val="0"/>
                <w:sz w:val="17"/>
              </w:rPr>
            </w:r>
            <w:r>
              <w:rPr>
                <w:rFonts w:ascii="Calibri" w:hAnsi="Calibri"/>
                <w:b w:val="0"/>
                <w:sz w:val="17"/>
              </w:rPr>
              <w:t>£3,226</w:t>
            </w:r>
          </w:p>
        </w:tc>
        <w:tc>
          <w:tcPr>
            <w:tcW w:type="dxa" w:w="1368"/>
          </w:tcPr>
          <w:p>
            <w:pPr>
              <w:spacing w:after="20" w:before="20"/>
              <w:jc w:val="right"/>
            </w:pPr>
            <w:r>
              <w:rPr>
                <w:rFonts w:ascii="Calibri" w:hAnsi="Calibri"/>
                <w:b w:val="0"/>
                <w:sz w:val="17"/>
              </w:rPr>
            </w:r>
            <w:r>
              <w:rPr>
                <w:rFonts w:ascii="Calibri" w:hAnsi="Calibri"/>
                <w:b w:val="0"/>
                <w:sz w:val="17"/>
              </w:rPr>
              <w:t>£6,895</w:t>
            </w:r>
          </w:p>
        </w:tc>
        <w:tc>
          <w:tcPr>
            <w:tcW w:type="dxa" w:w="1440"/>
          </w:tcPr>
          <w:p>
            <w:pPr>
              <w:spacing w:after="20" w:before="20"/>
              <w:jc w:val="right"/>
            </w:pPr>
            <w:r>
              <w:rPr>
                <w:rFonts w:ascii="Calibri" w:hAnsi="Calibri"/>
                <w:b w:val="0"/>
                <w:sz w:val="17"/>
              </w:rPr>
            </w:r>
            <w:r>
              <w:rPr>
                <w:rFonts w:ascii="Calibri" w:hAnsi="Calibri"/>
                <w:b w:val="0"/>
                <w:sz w:val="17"/>
              </w:rPr>
              <w:t>£3.09M</w:t>
            </w:r>
          </w:p>
        </w:tc>
        <w:tc>
          <w:tcPr>
            <w:tcW w:type="dxa" w:w="1080"/>
          </w:tcPr>
          <w:p>
            <w:pPr>
              <w:spacing w:after="20" w:before="20"/>
              <w:jc w:val="right"/>
            </w:pPr>
            <w:r>
              <w:rPr>
                <w:rFonts w:ascii="Calibri" w:hAnsi="Calibri"/>
                <w:b w:val="0"/>
                <w:sz w:val="17"/>
              </w:rPr>
            </w:r>
            <w:r>
              <w:rPr>
                <w:rFonts w:ascii="Calibri" w:hAnsi="Calibri"/>
                <w:b w:val="0"/>
                <w:sz w:val="17"/>
              </w:rPr>
              <w:t>12.3%</w:t>
            </w:r>
          </w:p>
        </w:tc>
      </w:tr>
      <w:tr>
        <w:tc>
          <w:tcPr>
            <w:tcW w:type="dxa" w:w="2016"/>
          </w:tcPr>
          <w:p>
            <w:pPr>
              <w:spacing w:after="20" w:before="20"/>
            </w:pPr>
            <w:r>
              <w:rPr>
                <w:rFonts w:ascii="Calibri" w:hAnsi="Calibri"/>
                <w:b w:val="0"/>
                <w:sz w:val="17"/>
              </w:rPr>
            </w:r>
            <w:r>
              <w:rPr>
                <w:rFonts w:ascii="Calibri" w:hAnsi="Calibri"/>
                <w:b w:val="0"/>
                <w:sz w:val="17"/>
              </w:rPr>
              <w:t>At risk</w:t>
            </w:r>
          </w:p>
        </w:tc>
        <w:tc>
          <w:tcPr>
            <w:tcW w:type="dxa" w:w="1152"/>
          </w:tcPr>
          <w:p>
            <w:pPr>
              <w:spacing w:after="20" w:before="20"/>
              <w:jc w:val="right"/>
            </w:pPr>
            <w:r>
              <w:rPr>
                <w:rFonts w:ascii="Calibri" w:hAnsi="Calibri"/>
                <w:b w:val="0"/>
                <w:sz w:val="17"/>
              </w:rPr>
            </w:r>
            <w:r>
              <w:rPr>
                <w:rFonts w:ascii="Calibri" w:hAnsi="Calibri"/>
                <w:b w:val="0"/>
                <w:sz w:val="17"/>
              </w:rPr>
              <w:t>235</w:t>
            </w:r>
          </w:p>
        </w:tc>
        <w:tc>
          <w:tcPr>
            <w:tcW w:type="dxa" w:w="1512"/>
          </w:tcPr>
          <w:p>
            <w:pPr>
              <w:spacing w:after="20" w:before="20"/>
              <w:jc w:val="right"/>
            </w:pPr>
            <w:r>
              <w:rPr>
                <w:rFonts w:ascii="Calibri" w:hAnsi="Calibri"/>
                <w:b w:val="0"/>
                <w:sz w:val="17"/>
              </w:rPr>
            </w:r>
            <w:r>
              <w:rPr>
                <w:rFonts w:ascii="Calibri" w:hAnsi="Calibri"/>
                <w:b w:val="0"/>
                <w:sz w:val="17"/>
              </w:rPr>
              <w:t>£1,041</w:t>
            </w:r>
          </w:p>
        </w:tc>
        <w:tc>
          <w:tcPr>
            <w:tcW w:type="dxa" w:w="1368"/>
          </w:tcPr>
          <w:p>
            <w:pPr>
              <w:spacing w:after="20" w:before="20"/>
              <w:jc w:val="right"/>
            </w:pPr>
            <w:r>
              <w:rPr>
                <w:rFonts w:ascii="Calibri" w:hAnsi="Calibri"/>
                <w:b w:val="0"/>
                <w:sz w:val="17"/>
              </w:rPr>
            </w:r>
            <w:r>
              <w:rPr>
                <w:rFonts w:ascii="Calibri" w:hAnsi="Calibri"/>
                <w:b w:val="0"/>
                <w:sz w:val="17"/>
              </w:rPr>
              <w:t>£4,665</w:t>
            </w:r>
          </w:p>
        </w:tc>
        <w:tc>
          <w:tcPr>
            <w:tcW w:type="dxa" w:w="1440"/>
          </w:tcPr>
          <w:p>
            <w:pPr>
              <w:spacing w:after="20" w:before="20"/>
              <w:jc w:val="right"/>
            </w:pPr>
            <w:r>
              <w:rPr>
                <w:rFonts w:ascii="Calibri" w:hAnsi="Calibri"/>
                <w:b w:val="0"/>
                <w:sz w:val="17"/>
              </w:rPr>
            </w:r>
            <w:r>
              <w:rPr>
                <w:rFonts w:ascii="Calibri" w:hAnsi="Calibri"/>
                <w:b w:val="0"/>
                <w:sz w:val="17"/>
              </w:rPr>
              <w:t>£1.10M</w:t>
            </w:r>
          </w:p>
        </w:tc>
        <w:tc>
          <w:tcPr>
            <w:tcW w:type="dxa" w:w="1080"/>
          </w:tcPr>
          <w:p>
            <w:pPr>
              <w:spacing w:after="20" w:before="20"/>
              <w:jc w:val="right"/>
            </w:pPr>
            <w:r>
              <w:rPr>
                <w:rFonts w:ascii="Calibri" w:hAnsi="Calibri"/>
                <w:b w:val="0"/>
                <w:sz w:val="17"/>
              </w:rPr>
            </w:r>
            <w:r>
              <w:rPr>
                <w:rFonts w:ascii="Calibri" w:hAnsi="Calibri"/>
                <w:b w:val="0"/>
                <w:sz w:val="17"/>
              </w:rPr>
              <w:t>4.4%</w:t>
            </w:r>
          </w:p>
        </w:tc>
      </w:tr>
      <w:tr>
        <w:tc>
          <w:tcPr>
            <w:tcW w:type="dxa" w:w="2016"/>
          </w:tcPr>
          <w:p>
            <w:pPr>
              <w:spacing w:after="20" w:before="20"/>
            </w:pPr>
            <w:r>
              <w:rPr>
                <w:rFonts w:ascii="Calibri" w:hAnsi="Calibri"/>
                <w:b w:val="0"/>
                <w:sz w:val="17"/>
              </w:rPr>
            </w:r>
            <w:r>
              <w:rPr>
                <w:rFonts w:ascii="Calibri" w:hAnsi="Calibri"/>
                <w:b w:val="0"/>
                <w:sz w:val="17"/>
              </w:rPr>
              <w:t>Needs attention</w:t>
            </w:r>
          </w:p>
        </w:tc>
        <w:tc>
          <w:tcPr>
            <w:tcW w:type="dxa" w:w="1152"/>
          </w:tcPr>
          <w:p>
            <w:pPr>
              <w:spacing w:after="20" w:before="20"/>
              <w:jc w:val="right"/>
            </w:pPr>
            <w:r>
              <w:rPr>
                <w:rFonts w:ascii="Calibri" w:hAnsi="Calibri"/>
                <w:b w:val="0"/>
                <w:sz w:val="17"/>
              </w:rPr>
            </w:r>
            <w:r>
              <w:rPr>
                <w:rFonts w:ascii="Calibri" w:hAnsi="Calibri"/>
                <w:b w:val="0"/>
                <w:sz w:val="17"/>
              </w:rPr>
              <w:t>440</w:t>
            </w:r>
          </w:p>
        </w:tc>
        <w:tc>
          <w:tcPr>
            <w:tcW w:type="dxa" w:w="1512"/>
          </w:tcPr>
          <w:p>
            <w:pPr>
              <w:spacing w:after="20" w:before="20"/>
              <w:jc w:val="right"/>
            </w:pPr>
            <w:r>
              <w:rPr>
                <w:rFonts w:ascii="Calibri" w:hAnsi="Calibri"/>
                <w:b w:val="0"/>
                <w:sz w:val="17"/>
              </w:rPr>
            </w:r>
            <w:r>
              <w:rPr>
                <w:rFonts w:ascii="Calibri" w:hAnsi="Calibri"/>
                <w:b w:val="0"/>
                <w:sz w:val="17"/>
              </w:rPr>
              <w:t>£419</w:t>
            </w:r>
          </w:p>
        </w:tc>
        <w:tc>
          <w:tcPr>
            <w:tcW w:type="dxa" w:w="1368"/>
          </w:tcPr>
          <w:p>
            <w:pPr>
              <w:spacing w:after="20" w:before="20"/>
              <w:jc w:val="right"/>
            </w:pPr>
            <w:r>
              <w:rPr>
                <w:rFonts w:ascii="Calibri" w:hAnsi="Calibri"/>
                <w:b w:val="0"/>
                <w:sz w:val="17"/>
              </w:rPr>
            </w:r>
            <w:r>
              <w:rPr>
                <w:rFonts w:ascii="Calibri" w:hAnsi="Calibri"/>
                <w:b w:val="0"/>
                <w:sz w:val="17"/>
              </w:rPr>
              <w:t>£3,203</w:t>
            </w:r>
          </w:p>
        </w:tc>
        <w:tc>
          <w:tcPr>
            <w:tcW w:type="dxa" w:w="1440"/>
          </w:tcPr>
          <w:p>
            <w:pPr>
              <w:spacing w:after="20" w:before="20"/>
              <w:jc w:val="right"/>
            </w:pPr>
            <w:r>
              <w:rPr>
                <w:rFonts w:ascii="Calibri" w:hAnsi="Calibri"/>
                <w:b w:val="0"/>
                <w:sz w:val="17"/>
              </w:rPr>
            </w:r>
            <w:r>
              <w:rPr>
                <w:rFonts w:ascii="Calibri" w:hAnsi="Calibri"/>
                <w:b w:val="0"/>
                <w:sz w:val="17"/>
              </w:rPr>
              <w:t>£1.41M</w:t>
            </w:r>
          </w:p>
        </w:tc>
        <w:tc>
          <w:tcPr>
            <w:tcW w:type="dxa" w:w="1080"/>
          </w:tcPr>
          <w:p>
            <w:pPr>
              <w:spacing w:after="20" w:before="20"/>
              <w:jc w:val="right"/>
            </w:pPr>
            <w:r>
              <w:rPr>
                <w:rFonts w:ascii="Calibri" w:hAnsi="Calibri"/>
                <w:b w:val="0"/>
                <w:sz w:val="17"/>
              </w:rPr>
            </w:r>
            <w:r>
              <w:rPr>
                <w:rFonts w:ascii="Calibri" w:hAnsi="Calibri"/>
                <w:b w:val="0"/>
                <w:sz w:val="17"/>
              </w:rPr>
              <w:t>5.6%</w:t>
            </w:r>
          </w:p>
        </w:tc>
      </w:tr>
      <w:tr>
        <w:tc>
          <w:tcPr>
            <w:tcW w:type="dxa" w:w="2016"/>
          </w:tcPr>
          <w:p>
            <w:pPr>
              <w:spacing w:after="20" w:before="20"/>
            </w:pPr>
            <w:r>
              <w:rPr>
                <w:rFonts w:ascii="Calibri" w:hAnsi="Calibri"/>
                <w:b w:val="0"/>
                <w:sz w:val="17"/>
              </w:rPr>
            </w:r>
            <w:r>
              <w:rPr>
                <w:rFonts w:ascii="Calibri" w:hAnsi="Calibri"/>
                <w:b w:val="0"/>
                <w:sz w:val="17"/>
              </w:rPr>
              <w:t>Promising</w:t>
            </w:r>
          </w:p>
        </w:tc>
        <w:tc>
          <w:tcPr>
            <w:tcW w:type="dxa" w:w="1152"/>
          </w:tcPr>
          <w:p>
            <w:pPr>
              <w:spacing w:after="20" w:before="20"/>
              <w:jc w:val="right"/>
            </w:pPr>
            <w:r>
              <w:rPr>
                <w:rFonts w:ascii="Calibri" w:hAnsi="Calibri"/>
                <w:b w:val="0"/>
                <w:sz w:val="17"/>
              </w:rPr>
            </w:r>
            <w:r>
              <w:rPr>
                <w:rFonts w:ascii="Calibri" w:hAnsi="Calibri"/>
                <w:b w:val="0"/>
                <w:sz w:val="17"/>
              </w:rPr>
              <w:t>463</w:t>
            </w:r>
          </w:p>
        </w:tc>
        <w:tc>
          <w:tcPr>
            <w:tcW w:type="dxa" w:w="1512"/>
          </w:tcPr>
          <w:p>
            <w:pPr>
              <w:spacing w:after="20" w:before="20"/>
              <w:jc w:val="right"/>
            </w:pPr>
            <w:r>
              <w:rPr>
                <w:rFonts w:ascii="Calibri" w:hAnsi="Calibri"/>
                <w:b w:val="0"/>
                <w:sz w:val="17"/>
              </w:rPr>
            </w:r>
            <w:r>
              <w:rPr>
                <w:rFonts w:ascii="Calibri" w:hAnsi="Calibri"/>
                <w:b w:val="0"/>
                <w:sz w:val="17"/>
              </w:rPr>
              <w:t>£477</w:t>
            </w:r>
          </w:p>
        </w:tc>
        <w:tc>
          <w:tcPr>
            <w:tcW w:type="dxa" w:w="1368"/>
          </w:tcPr>
          <w:p>
            <w:pPr>
              <w:spacing w:after="20" w:before="20"/>
              <w:jc w:val="right"/>
            </w:pPr>
            <w:r>
              <w:rPr>
                <w:rFonts w:ascii="Calibri" w:hAnsi="Calibri"/>
                <w:b w:val="0"/>
                <w:sz w:val="17"/>
              </w:rPr>
            </w:r>
            <w:r>
              <w:rPr>
                <w:rFonts w:ascii="Calibri" w:hAnsi="Calibri"/>
                <w:b w:val="0"/>
                <w:sz w:val="17"/>
              </w:rPr>
              <w:t>£3,096</w:t>
            </w:r>
          </w:p>
        </w:tc>
        <w:tc>
          <w:tcPr>
            <w:tcW w:type="dxa" w:w="1440"/>
          </w:tcPr>
          <w:p>
            <w:pPr>
              <w:spacing w:after="20" w:before="20"/>
              <w:jc w:val="right"/>
            </w:pPr>
            <w:r>
              <w:rPr>
                <w:rFonts w:ascii="Calibri" w:hAnsi="Calibri"/>
                <w:b w:val="0"/>
                <w:sz w:val="17"/>
              </w:rPr>
            </w:r>
            <w:r>
              <w:rPr>
                <w:rFonts w:ascii="Calibri" w:hAnsi="Calibri"/>
                <w:b w:val="0"/>
                <w:sz w:val="17"/>
              </w:rPr>
              <w:t>£1.43M</w:t>
            </w:r>
          </w:p>
        </w:tc>
        <w:tc>
          <w:tcPr>
            <w:tcW w:type="dxa" w:w="1080"/>
          </w:tcPr>
          <w:p>
            <w:pPr>
              <w:spacing w:after="20" w:before="20"/>
              <w:jc w:val="right"/>
            </w:pPr>
            <w:r>
              <w:rPr>
                <w:rFonts w:ascii="Calibri" w:hAnsi="Calibri"/>
                <w:b w:val="0"/>
                <w:sz w:val="17"/>
              </w:rPr>
            </w:r>
            <w:r>
              <w:rPr>
                <w:rFonts w:ascii="Calibri" w:hAnsi="Calibri"/>
                <w:b w:val="0"/>
                <w:sz w:val="17"/>
              </w:rPr>
              <w:t>5.7%</w:t>
            </w:r>
          </w:p>
        </w:tc>
      </w:tr>
      <w:tr>
        <w:tc>
          <w:tcPr>
            <w:tcW w:type="dxa" w:w="2016"/>
          </w:tcPr>
          <w:p>
            <w:pPr>
              <w:spacing w:after="20" w:before="20"/>
            </w:pPr>
            <w:r>
              <w:rPr>
                <w:rFonts w:ascii="Calibri" w:hAnsi="Calibri"/>
                <w:b w:val="0"/>
                <w:sz w:val="17"/>
              </w:rPr>
            </w:r>
            <w:r>
              <w:rPr>
                <w:rFonts w:ascii="Calibri" w:hAnsi="Calibri"/>
                <w:b w:val="0"/>
                <w:sz w:val="17"/>
              </w:rPr>
              <w:t>New</w:t>
            </w:r>
          </w:p>
        </w:tc>
        <w:tc>
          <w:tcPr>
            <w:tcW w:type="dxa" w:w="1152"/>
          </w:tcPr>
          <w:p>
            <w:pPr>
              <w:spacing w:after="20" w:before="20"/>
              <w:jc w:val="right"/>
            </w:pPr>
            <w:r>
              <w:rPr>
                <w:rFonts w:ascii="Calibri" w:hAnsi="Calibri"/>
                <w:b w:val="0"/>
                <w:sz w:val="17"/>
              </w:rPr>
            </w:r>
            <w:r>
              <w:rPr>
                <w:rFonts w:ascii="Calibri" w:hAnsi="Calibri"/>
                <w:b w:val="0"/>
                <w:sz w:val="17"/>
              </w:rPr>
              <w:t>95</w:t>
            </w:r>
          </w:p>
        </w:tc>
        <w:tc>
          <w:tcPr>
            <w:tcW w:type="dxa" w:w="1512"/>
          </w:tcPr>
          <w:p>
            <w:pPr>
              <w:spacing w:after="20" w:before="20"/>
              <w:jc w:val="right"/>
            </w:pPr>
            <w:r>
              <w:rPr>
                <w:rFonts w:ascii="Calibri" w:hAnsi="Calibri"/>
                <w:b w:val="0"/>
                <w:sz w:val="17"/>
              </w:rPr>
            </w:r>
            <w:r>
              <w:rPr>
                <w:rFonts w:ascii="Calibri" w:hAnsi="Calibri"/>
                <w:b w:val="0"/>
                <w:sz w:val="17"/>
              </w:rPr>
              <w:t>£167</w:t>
            </w:r>
          </w:p>
        </w:tc>
        <w:tc>
          <w:tcPr>
            <w:tcW w:type="dxa" w:w="1368"/>
          </w:tcPr>
          <w:p>
            <w:pPr>
              <w:spacing w:after="20" w:before="20"/>
              <w:jc w:val="right"/>
            </w:pPr>
            <w:r>
              <w:rPr>
                <w:rFonts w:ascii="Calibri" w:hAnsi="Calibri"/>
                <w:b w:val="0"/>
                <w:sz w:val="17"/>
              </w:rPr>
            </w:r>
            <w:r>
              <w:rPr>
                <w:rFonts w:ascii="Calibri" w:hAnsi="Calibri"/>
                <w:b w:val="0"/>
                <w:sz w:val="17"/>
              </w:rPr>
              <w:t>£2,007</w:t>
            </w:r>
          </w:p>
        </w:tc>
        <w:tc>
          <w:tcPr>
            <w:tcW w:type="dxa" w:w="1440"/>
          </w:tcPr>
          <w:p>
            <w:pPr>
              <w:spacing w:after="20" w:before="20"/>
              <w:jc w:val="right"/>
            </w:pPr>
            <w:r>
              <w:rPr>
                <w:rFonts w:ascii="Calibri" w:hAnsi="Calibri"/>
                <w:b w:val="0"/>
                <w:sz w:val="17"/>
              </w:rPr>
            </w:r>
            <w:r>
              <w:rPr>
                <w:rFonts w:ascii="Calibri" w:hAnsi="Calibri"/>
                <w:b w:val="0"/>
                <w:sz w:val="17"/>
              </w:rPr>
              <w:t>£191k</w:t>
            </w:r>
          </w:p>
        </w:tc>
        <w:tc>
          <w:tcPr>
            <w:tcW w:type="dxa" w:w="1080"/>
          </w:tcPr>
          <w:p>
            <w:pPr>
              <w:spacing w:after="20" w:before="20"/>
              <w:jc w:val="right"/>
            </w:pPr>
            <w:r>
              <w:rPr>
                <w:rFonts w:ascii="Calibri" w:hAnsi="Calibri"/>
                <w:b w:val="0"/>
                <w:sz w:val="17"/>
              </w:rPr>
            </w:r>
            <w:r>
              <w:rPr>
                <w:rFonts w:ascii="Calibri" w:hAnsi="Calibri"/>
                <w:b w:val="0"/>
                <w:sz w:val="17"/>
              </w:rPr>
              <w:t>0.8%</w:t>
            </w:r>
          </w:p>
        </w:tc>
      </w:tr>
      <w:tr>
        <w:tc>
          <w:tcPr>
            <w:tcW w:type="dxa" w:w="2016"/>
          </w:tcPr>
          <w:p>
            <w:pPr>
              <w:spacing w:after="20" w:before="20"/>
            </w:pPr>
            <w:r>
              <w:rPr>
                <w:rFonts w:ascii="Calibri" w:hAnsi="Calibri"/>
                <w:b w:val="0"/>
                <w:sz w:val="17"/>
              </w:rPr>
            </w:r>
            <w:r>
              <w:rPr>
                <w:rFonts w:ascii="Calibri" w:hAnsi="Calibri"/>
                <w:b w:val="0"/>
                <w:sz w:val="17"/>
              </w:rPr>
              <w:t>Hibernating</w:t>
            </w:r>
          </w:p>
        </w:tc>
        <w:tc>
          <w:tcPr>
            <w:tcW w:type="dxa" w:w="1152"/>
          </w:tcPr>
          <w:p>
            <w:pPr>
              <w:spacing w:after="20" w:before="20"/>
              <w:jc w:val="right"/>
            </w:pPr>
            <w:r>
              <w:rPr>
                <w:rFonts w:ascii="Calibri" w:hAnsi="Calibri"/>
                <w:b w:val="0"/>
                <w:sz w:val="17"/>
              </w:rPr>
            </w:r>
            <w:r>
              <w:rPr>
                <w:rFonts w:ascii="Calibri" w:hAnsi="Calibri"/>
                <w:b w:val="0"/>
                <w:sz w:val="17"/>
              </w:rPr>
              <w:t>714</w:t>
            </w:r>
          </w:p>
        </w:tc>
        <w:tc>
          <w:tcPr>
            <w:tcW w:type="dxa" w:w="1512"/>
          </w:tcPr>
          <w:p>
            <w:pPr>
              <w:spacing w:after="20" w:before="20"/>
              <w:jc w:val="right"/>
            </w:pPr>
            <w:r>
              <w:rPr>
                <w:rFonts w:ascii="Calibri" w:hAnsi="Calibri"/>
                <w:b w:val="0"/>
                <w:sz w:val="17"/>
              </w:rPr>
            </w:r>
            <w:r>
              <w:rPr>
                <w:rFonts w:ascii="Calibri" w:hAnsi="Calibri"/>
                <w:b w:val="0"/>
                <w:sz w:val="17"/>
              </w:rPr>
              <w:t>£394</w:t>
            </w:r>
          </w:p>
        </w:tc>
        <w:tc>
          <w:tcPr>
            <w:tcW w:type="dxa" w:w="1368"/>
          </w:tcPr>
          <w:p>
            <w:pPr>
              <w:spacing w:after="20" w:before="20"/>
              <w:jc w:val="right"/>
            </w:pPr>
            <w:r>
              <w:rPr>
                <w:rFonts w:ascii="Calibri" w:hAnsi="Calibri"/>
                <w:b w:val="0"/>
                <w:sz w:val="17"/>
              </w:rPr>
            </w:r>
            <w:r>
              <w:rPr>
                <w:rFonts w:ascii="Calibri" w:hAnsi="Calibri"/>
                <w:b w:val="0"/>
                <w:sz w:val="17"/>
              </w:rPr>
              <w:t>£3,188</w:t>
            </w:r>
          </w:p>
        </w:tc>
        <w:tc>
          <w:tcPr>
            <w:tcW w:type="dxa" w:w="1440"/>
          </w:tcPr>
          <w:p>
            <w:pPr>
              <w:spacing w:after="20" w:before="20"/>
              <w:jc w:val="right"/>
            </w:pPr>
            <w:r>
              <w:rPr>
                <w:rFonts w:ascii="Calibri" w:hAnsi="Calibri"/>
                <w:b w:val="0"/>
                <w:sz w:val="17"/>
              </w:rPr>
            </w:r>
            <w:r>
              <w:rPr>
                <w:rFonts w:ascii="Calibri" w:hAnsi="Calibri"/>
                <w:b w:val="0"/>
                <w:sz w:val="17"/>
              </w:rPr>
              <w:t>£2.28M</w:t>
            </w:r>
          </w:p>
        </w:tc>
        <w:tc>
          <w:tcPr>
            <w:tcW w:type="dxa" w:w="1080"/>
          </w:tcPr>
          <w:p>
            <w:pPr>
              <w:spacing w:after="20" w:before="20"/>
              <w:jc w:val="right"/>
            </w:pPr>
            <w:r>
              <w:rPr>
                <w:rFonts w:ascii="Calibri" w:hAnsi="Calibri"/>
                <w:b w:val="0"/>
                <w:sz w:val="17"/>
              </w:rPr>
            </w:r>
            <w:r>
              <w:rPr>
                <w:rFonts w:ascii="Calibri" w:hAnsi="Calibri"/>
                <w:b w:val="0"/>
                <w:sz w:val="17"/>
              </w:rPr>
              <w:t>9.1%</w:t>
            </w:r>
          </w:p>
        </w:tc>
      </w:tr>
      <w:tr>
        <w:tc>
          <w:tcPr>
            <w:tcW w:type="dxa" w:w="2016"/>
          </w:tcPr>
          <w:p>
            <w:pPr>
              <w:spacing w:after="20" w:before="20"/>
            </w:pPr>
            <w:r>
              <w:rPr>
                <w:rFonts w:ascii="Calibri" w:hAnsi="Calibri"/>
                <w:b w:val="0"/>
                <w:sz w:val="17"/>
              </w:rPr>
            </w:r>
            <w:r>
              <w:rPr>
                <w:rFonts w:ascii="Calibri" w:hAnsi="Calibri"/>
                <w:b w:val="0"/>
                <w:sz w:val="17"/>
              </w:rPr>
              <w:t>Lost</w:t>
            </w:r>
          </w:p>
        </w:tc>
        <w:tc>
          <w:tcPr>
            <w:tcW w:type="dxa" w:w="1152"/>
          </w:tcPr>
          <w:p>
            <w:pPr>
              <w:spacing w:after="20" w:before="20"/>
              <w:jc w:val="right"/>
            </w:pPr>
            <w:r>
              <w:rPr>
                <w:rFonts w:ascii="Calibri" w:hAnsi="Calibri"/>
                <w:b w:val="0"/>
                <w:sz w:val="17"/>
              </w:rPr>
            </w:r>
            <w:r>
              <w:rPr>
                <w:rFonts w:ascii="Calibri" w:hAnsi="Calibri"/>
                <w:b w:val="0"/>
                <w:sz w:val="17"/>
              </w:rPr>
              <w:t>945</w:t>
            </w:r>
          </w:p>
        </w:tc>
        <w:tc>
          <w:tcPr>
            <w:tcW w:type="dxa" w:w="1512"/>
          </w:tcPr>
          <w:p>
            <w:pPr>
              <w:spacing w:after="20" w:before="20"/>
              <w:jc w:val="right"/>
            </w:pPr>
            <w:r>
              <w:rPr>
                <w:rFonts w:ascii="Calibri" w:hAnsi="Calibri"/>
                <w:b w:val="0"/>
                <w:sz w:val="17"/>
              </w:rPr>
            </w:r>
            <w:r>
              <w:rPr>
                <w:rFonts w:ascii="Calibri" w:hAnsi="Calibri"/>
                <w:b w:val="0"/>
                <w:sz w:val="17"/>
              </w:rPr>
              <w:t>£325</w:t>
            </w:r>
          </w:p>
        </w:tc>
        <w:tc>
          <w:tcPr>
            <w:tcW w:type="dxa" w:w="1368"/>
          </w:tcPr>
          <w:p>
            <w:pPr>
              <w:spacing w:after="20" w:before="20"/>
              <w:jc w:val="right"/>
            </w:pPr>
            <w:r>
              <w:rPr>
                <w:rFonts w:ascii="Calibri" w:hAnsi="Calibri"/>
                <w:b w:val="0"/>
                <w:sz w:val="17"/>
              </w:rPr>
            </w:r>
            <w:r>
              <w:rPr>
                <w:rFonts w:ascii="Calibri" w:hAnsi="Calibri"/>
                <w:b w:val="0"/>
                <w:sz w:val="17"/>
              </w:rPr>
              <w:t>£3,230</w:t>
            </w:r>
          </w:p>
        </w:tc>
        <w:tc>
          <w:tcPr>
            <w:tcW w:type="dxa" w:w="1440"/>
          </w:tcPr>
          <w:p>
            <w:pPr>
              <w:spacing w:after="20" w:before="20"/>
              <w:jc w:val="right"/>
            </w:pPr>
            <w:r>
              <w:rPr>
                <w:rFonts w:ascii="Calibri" w:hAnsi="Calibri"/>
                <w:b w:val="0"/>
                <w:sz w:val="17"/>
              </w:rPr>
            </w:r>
            <w:r>
              <w:rPr>
                <w:rFonts w:ascii="Calibri" w:hAnsi="Calibri"/>
                <w:b w:val="0"/>
                <w:sz w:val="17"/>
              </w:rPr>
              <w:t>£3.05M</w:t>
            </w:r>
          </w:p>
        </w:tc>
        <w:tc>
          <w:tcPr>
            <w:tcW w:type="dxa" w:w="1080"/>
          </w:tcPr>
          <w:p>
            <w:pPr>
              <w:spacing w:after="20" w:before="20"/>
              <w:jc w:val="right"/>
            </w:pPr>
            <w:r>
              <w:rPr>
                <w:rFonts w:ascii="Calibri" w:hAnsi="Calibri"/>
                <w:b w:val="0"/>
                <w:sz w:val="17"/>
              </w:rPr>
            </w:r>
            <w:r>
              <w:rPr>
                <w:rFonts w:ascii="Calibri" w:hAnsi="Calibri"/>
                <w:b w:val="0"/>
                <w:sz w:val="17"/>
              </w:rPr>
              <w:t>12.1%</w:t>
            </w:r>
          </w:p>
        </w:tc>
      </w:tr>
    </w:tbl>
    <w:p/>
    <w:p>
      <w:r>
        <w:rPr>
          <w:b w:val="0"/>
          <w:i w:val="0"/>
        </w:rPr>
        <w:t>Historical CLV - revenue already banked - averages £2,994.22 with a median of £889.31. The 12-month projection averages £4,292.02 per customer and £25,125,493 across the base.</w:t>
      </w:r>
    </w:p>
    <w:p>
      <w:pPr>
        <w:pStyle w:val="Heading2"/>
      </w:pPr>
      <w:r>
        <w:t>10.1  Testing the projection instead of publishing it</w:t>
      </w:r>
    </w:p>
    <w:p>
      <w:r>
        <w:rPr>
          <w:b w:val="0"/>
          <w:i w:val="0"/>
        </w:rPr>
        <w:t xml:space="preserve">That total is not credible, and the notebook says so with a number. </w:t>
      </w:r>
      <w:r>
        <w:rPr>
          <w:b/>
          <w:i w:val="0"/>
        </w:rPr>
        <w:t>£25,125,493 is 2.91x the £8,627,354 these same identified customers actually produced in the most recent full year.</w:t>
      </w:r>
      <w:r>
        <w:rPr>
          <w:b w:val="0"/>
          <w:i w:val="0"/>
        </w:rPr>
        <w:t xml:space="preserve"> The comparison is deliberately like-for-like: the projection is built on the identified base, so measuring it against the £10,324,943 that includes guest checkouts would credit the model with revenue it never saw and understate the gap to 2.43x. The projection assumes every customer keeps buying at their observed rate for a further twelve months, and it carries no churn probability, so a customer who has not ordered for a year is projected forward exactly as confidently as one who ordered last week.</w:t>
      </w:r>
    </w:p>
    <w:p>
      <w:r>
        <w:rPr>
          <w:b w:val="0"/>
          <w:i w:val="0"/>
        </w:rPr>
        <w:t xml:space="preserve">The failure is visible in the ranking as well as the total. The projection puts </w:t>
      </w:r>
      <w:r>
        <w:rPr>
          <w:b/>
          <w:i w:val="0"/>
        </w:rPr>
        <w:t>Cannot lose them at £6,894.77 per customer, above Champions at £5,988.81</w:t>
      </w:r>
      <w:r>
        <w:rPr>
          <w:b w:val="0"/>
          <w:i w:val="0"/>
        </w:rPr>
        <w:t xml:space="preserve"> - because a dormant customer who bought heavily in a short window shows a high rate over a short lifespan. That ordering is an artefact of the constant-rate assumption, not a real ranking.</w:t>
      </w:r>
    </w:p>
    <w:p>
      <w:r>
        <w:rPr>
          <w:b w:val="0"/>
          <w:i w:val="0"/>
        </w:rPr>
        <w:t xml:space="preserve">Two conclusions follow, and both are carried into section 13. The projection is reported as an </w:t>
      </w:r>
      <w:r>
        <w:rPr>
          <w:b/>
          <w:i w:val="0"/>
        </w:rPr>
        <w:t>upper bound in aggregate</w:t>
      </w:r>
      <w:r>
        <w:rPr>
          <w:b w:val="0"/>
          <w:i w:val="0"/>
        </w:rPr>
        <w:t xml:space="preserve">, and for the dormant accounts that inflate it, never as a forecast - for a genuinely accelerating customer the same assumption is conservative, which is why it is not a per-account ceiling. And every prioritisation decision in this report rests on </w:t>
      </w:r>
      <w:r>
        <w:rPr>
          <w:b/>
          <w:i w:val="0"/>
        </w:rPr>
        <w:t>historical</w:t>
      </w:r>
      <w:r>
        <w:rPr>
          <w:b w:val="0"/>
          <w:i w:val="0"/>
        </w:rPr>
        <w:t xml:space="preserve"> value, which is measured, rather than on the projection, which is modelled. The correct fix - a BG/NBD model for purchase frequency with a Gamma-Gamma model for spend - is named in the limitations and is not attempted here.</w:t>
      </w:r>
    </w:p>
    <w:p>
      <w:r>
        <w:br w:type="page"/>
      </w:r>
    </w:p>
    <w:p>
      <w:pPr>
        <w:pStyle w:val="Heading1"/>
      </w:pPr>
      <w:r>
        <w:t>11.  Cohort retention</w:t>
      </w:r>
    </w:p>
    <w:p>
      <w:pPr>
        <w:spacing w:after="40"/>
        <w:jc w:val="center"/>
      </w:pPr>
      <w:r>
        <w:drawing>
          <wp:inline xmlns:a="http://schemas.openxmlformats.org/drawingml/2006/main" xmlns:pic="http://schemas.openxmlformats.org/drawingml/2006/picture">
            <wp:extent cx="5623560" cy="2834146"/>
            <wp:docPr id="14" name="Picture 14"/>
            <wp:cNvGraphicFramePr>
              <a:graphicFrameLocks noChangeAspect="1"/>
            </wp:cNvGraphicFramePr>
            <a:graphic>
              <a:graphicData uri="http://schemas.openxmlformats.org/drawingml/2006/picture">
                <pic:pic>
                  <pic:nvPicPr>
                    <pic:cNvPr id="0" name="14_cohort_retention.png"/>
                    <pic:cNvPicPr/>
                  </pic:nvPicPr>
                  <pic:blipFill>
                    <a:blip r:embed="rId23"/>
                    <a:stretch>
                      <a:fillRect/>
                    </a:stretch>
                  </pic:blipFill>
                  <pic:spPr>
                    <a:xfrm>
                      <a:off x="0" y="0"/>
                      <a:ext cx="5623560" cy="2834146"/>
                    </a:xfrm>
                    <a:prstGeom prst="rect"/>
                  </pic:spPr>
                </pic:pic>
              </a:graphicData>
            </a:graphic>
          </wp:inline>
        </w:drawing>
      </w:r>
    </w:p>
    <w:p>
      <w:pPr>
        <w:spacing w:before="40" w:after="240"/>
        <w:jc w:val="center"/>
      </w:pPr>
      <w:r>
        <w:rPr>
          <w:b w:val="0"/>
          <w:i/>
          <w:color w:val="77776F"/>
          <w:sz w:val="17"/>
        </w:rPr>
        <w:t>Figure 14. Monthly acquisition cohorts against months since acquisition. Blank cells are not yet observable, or fall in the truncated final month.</w:t>
      </w:r>
    </w:p>
    <w:p>
      <w:pPr>
        <w:spacing w:before="40" w:after="40"/>
        <w:jc w:val="left"/>
      </w:pPr>
      <w:r>
        <w:rPr>
          <w:b w:val="0"/>
          <w:i/>
          <w:color w:val="77776F"/>
          <w:sz w:val="17"/>
        </w:rPr>
        <w:t>Table 15. Cohort size, early retention and lifetime revenue per acquisition month.</w:t>
      </w:r>
    </w:p>
    <w:tbl>
      <w:tblPr>
        <w:tblStyle w:val="LightGrid-Accent1"/>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1152"/>
          </w:tcPr>
          <w:p>
            <w:pPr>
              <w:spacing w:after="20" w:before="20"/>
            </w:pPr>
            <w:r>
              <w:rPr>
                <w:rFonts w:ascii="Calibri" w:hAnsi="Calibri"/>
                <w:b/>
                <w:sz w:val="17"/>
              </w:rPr>
            </w:r>
            <w:r>
              <w:rPr>
                <w:rFonts w:ascii="Calibri" w:hAnsi="Calibri"/>
                <w:b/>
                <w:sz w:val="17"/>
              </w:rPr>
              <w:t>Cohort</w:t>
            </w:r>
          </w:p>
        </w:tc>
        <w:tc>
          <w:tcPr>
            <w:tcW w:type="dxa" w:w="1224"/>
          </w:tcPr>
          <w:p>
            <w:pPr>
              <w:spacing w:after="20" w:before="20"/>
              <w:jc w:val="right"/>
            </w:pPr>
            <w:r>
              <w:rPr>
                <w:rFonts w:ascii="Calibri" w:hAnsi="Calibri"/>
                <w:b/>
                <w:sz w:val="17"/>
              </w:rPr>
            </w:r>
            <w:r>
              <w:rPr>
                <w:rFonts w:ascii="Calibri" w:hAnsi="Calibri"/>
                <w:b/>
                <w:sz w:val="17"/>
              </w:rPr>
              <w:t>Customers</w:t>
            </w:r>
          </w:p>
        </w:tc>
        <w:tc>
          <w:tcPr>
            <w:tcW w:type="dxa" w:w="1080"/>
          </w:tcPr>
          <w:p>
            <w:pPr>
              <w:spacing w:after="20" w:before="20"/>
              <w:jc w:val="right"/>
            </w:pPr>
            <w:r>
              <w:rPr>
                <w:rFonts w:ascii="Calibri" w:hAnsi="Calibri"/>
                <w:b/>
                <w:sz w:val="17"/>
              </w:rPr>
            </w:r>
            <w:r>
              <w:rPr>
                <w:rFonts w:ascii="Calibri" w:hAnsi="Calibri"/>
                <w:b/>
                <w:sz w:val="17"/>
              </w:rPr>
              <w:t>Month 1</w:t>
            </w:r>
          </w:p>
        </w:tc>
        <w:tc>
          <w:tcPr>
            <w:tcW w:type="dxa" w:w="1080"/>
          </w:tcPr>
          <w:p>
            <w:pPr>
              <w:spacing w:after="20" w:before="20"/>
              <w:jc w:val="right"/>
            </w:pPr>
            <w:r>
              <w:rPr>
                <w:rFonts w:ascii="Calibri" w:hAnsi="Calibri"/>
                <w:b/>
                <w:sz w:val="17"/>
              </w:rPr>
            </w:r>
            <w:r>
              <w:rPr>
                <w:rFonts w:ascii="Calibri" w:hAnsi="Calibri"/>
                <w:b/>
                <w:sz w:val="17"/>
              </w:rPr>
              <w:t>Month 3</w:t>
            </w:r>
          </w:p>
        </w:tc>
        <w:tc>
          <w:tcPr>
            <w:tcW w:type="dxa" w:w="1080"/>
          </w:tcPr>
          <w:p>
            <w:pPr>
              <w:spacing w:after="20" w:before="20"/>
              <w:jc w:val="right"/>
            </w:pPr>
            <w:r>
              <w:rPr>
                <w:rFonts w:ascii="Calibri" w:hAnsi="Calibri"/>
                <w:b/>
                <w:sz w:val="17"/>
              </w:rPr>
            </w:r>
            <w:r>
              <w:rPr>
                <w:rFonts w:ascii="Calibri" w:hAnsi="Calibri"/>
                <w:b/>
                <w:sz w:val="17"/>
              </w:rPr>
              <w:t>Month 6</w:t>
            </w:r>
          </w:p>
        </w:tc>
        <w:tc>
          <w:tcPr>
            <w:tcW w:type="dxa" w:w="1296"/>
          </w:tcPr>
          <w:p>
            <w:pPr>
              <w:spacing w:after="20" w:before="20"/>
              <w:jc w:val="right"/>
            </w:pPr>
            <w:r>
              <w:rPr>
                <w:rFonts w:ascii="Calibri" w:hAnsi="Calibri"/>
                <w:b/>
                <w:sz w:val="17"/>
              </w:rPr>
            </w:r>
            <w:r>
              <w:rPr>
                <w:rFonts w:ascii="Calibri" w:hAnsi="Calibri"/>
                <w:b/>
                <w:sz w:val="17"/>
              </w:rPr>
              <w:t>Revenue</w:t>
            </w:r>
          </w:p>
        </w:tc>
        <w:tc>
          <w:tcPr>
            <w:tcW w:type="dxa" w:w="1944"/>
          </w:tcPr>
          <w:p>
            <w:pPr>
              <w:spacing w:after="20" w:before="20"/>
              <w:jc w:val="right"/>
            </w:pPr>
            <w:r>
              <w:rPr>
                <w:rFonts w:ascii="Calibri" w:hAnsi="Calibri"/>
                <w:b/>
                <w:sz w:val="17"/>
              </w:rPr>
            </w:r>
            <w:r>
              <w:rPr>
                <w:rFonts w:ascii="Calibri" w:hAnsi="Calibri"/>
                <w:b/>
                <w:sz w:val="17"/>
              </w:rPr>
              <w:t>Revenue per customer</w:t>
            </w:r>
          </w:p>
        </w:tc>
      </w:tr>
      <w:tr>
        <w:tc>
          <w:tcPr>
            <w:tcW w:type="dxa" w:w="1152"/>
          </w:tcPr>
          <w:p>
            <w:pPr>
              <w:spacing w:after="20" w:before="20"/>
            </w:pPr>
            <w:r>
              <w:rPr>
                <w:rFonts w:ascii="Calibri" w:hAnsi="Calibri"/>
                <w:b w:val="0"/>
                <w:sz w:val="17"/>
              </w:rPr>
            </w:r>
            <w:r>
              <w:rPr>
                <w:rFonts w:ascii="Calibri" w:hAnsi="Calibri"/>
                <w:b w:val="0"/>
                <w:sz w:val="17"/>
              </w:rPr>
              <w:t>2009-12</w:t>
            </w:r>
          </w:p>
        </w:tc>
        <w:tc>
          <w:tcPr>
            <w:tcW w:type="dxa" w:w="1224"/>
          </w:tcPr>
          <w:p>
            <w:pPr>
              <w:spacing w:after="20" w:before="20"/>
              <w:jc w:val="right"/>
            </w:pPr>
            <w:r>
              <w:rPr>
                <w:rFonts w:ascii="Calibri" w:hAnsi="Calibri"/>
                <w:b w:val="0"/>
                <w:sz w:val="17"/>
              </w:rPr>
            </w:r>
            <w:r>
              <w:rPr>
                <w:rFonts w:ascii="Calibri" w:hAnsi="Calibri"/>
                <w:b w:val="0"/>
                <w:sz w:val="17"/>
              </w:rPr>
              <w:t>953</w:t>
            </w:r>
          </w:p>
        </w:tc>
        <w:tc>
          <w:tcPr>
            <w:tcW w:type="dxa" w:w="1080"/>
          </w:tcPr>
          <w:p>
            <w:pPr>
              <w:spacing w:after="20" w:before="20"/>
              <w:jc w:val="right"/>
            </w:pPr>
            <w:r>
              <w:rPr>
                <w:rFonts w:ascii="Calibri" w:hAnsi="Calibri"/>
                <w:b w:val="0"/>
                <w:sz w:val="17"/>
              </w:rPr>
            </w:r>
            <w:r>
              <w:rPr>
                <w:rFonts w:ascii="Calibri" w:hAnsi="Calibri"/>
                <w:b w:val="0"/>
                <w:sz w:val="17"/>
              </w:rPr>
              <w:t>34.9%</w:t>
            </w:r>
          </w:p>
        </w:tc>
        <w:tc>
          <w:tcPr>
            <w:tcW w:type="dxa" w:w="1080"/>
          </w:tcPr>
          <w:p>
            <w:pPr>
              <w:spacing w:after="20" w:before="20"/>
              <w:jc w:val="right"/>
            </w:pPr>
            <w:r>
              <w:rPr>
                <w:rFonts w:ascii="Calibri" w:hAnsi="Calibri"/>
                <w:b w:val="0"/>
                <w:sz w:val="17"/>
              </w:rPr>
            </w:r>
            <w:r>
              <w:rPr>
                <w:rFonts w:ascii="Calibri" w:hAnsi="Calibri"/>
                <w:b w:val="0"/>
                <w:sz w:val="17"/>
              </w:rPr>
              <w:t>42.4%</w:t>
            </w:r>
          </w:p>
        </w:tc>
        <w:tc>
          <w:tcPr>
            <w:tcW w:type="dxa" w:w="1080"/>
          </w:tcPr>
          <w:p>
            <w:pPr>
              <w:spacing w:after="20" w:before="20"/>
              <w:jc w:val="right"/>
            </w:pPr>
            <w:r>
              <w:rPr>
                <w:rFonts w:ascii="Calibri" w:hAnsi="Calibri"/>
                <w:b w:val="0"/>
                <w:sz w:val="17"/>
              </w:rPr>
            </w:r>
            <w:r>
              <w:rPr>
                <w:rFonts w:ascii="Calibri" w:hAnsi="Calibri"/>
                <w:b w:val="0"/>
                <w:sz w:val="17"/>
              </w:rPr>
              <w:t>37.6%</w:t>
            </w:r>
          </w:p>
        </w:tc>
        <w:tc>
          <w:tcPr>
            <w:tcW w:type="dxa" w:w="1296"/>
          </w:tcPr>
          <w:p>
            <w:pPr>
              <w:spacing w:after="20" w:before="20"/>
              <w:jc w:val="right"/>
            </w:pPr>
            <w:r>
              <w:rPr>
                <w:rFonts w:ascii="Calibri" w:hAnsi="Calibri"/>
                <w:b w:val="0"/>
                <w:sz w:val="17"/>
              </w:rPr>
            </w:r>
            <w:r>
              <w:rPr>
                <w:rFonts w:ascii="Calibri" w:hAnsi="Calibri"/>
                <w:b w:val="0"/>
                <w:sz w:val="17"/>
              </w:rPr>
              <w:t>£8.55M</w:t>
            </w:r>
          </w:p>
        </w:tc>
        <w:tc>
          <w:tcPr>
            <w:tcW w:type="dxa" w:w="1944"/>
          </w:tcPr>
          <w:p>
            <w:pPr>
              <w:spacing w:after="20" w:before="20"/>
              <w:jc w:val="right"/>
            </w:pPr>
            <w:r>
              <w:rPr>
                <w:rFonts w:ascii="Calibri" w:hAnsi="Calibri"/>
                <w:b w:val="0"/>
                <w:sz w:val="17"/>
              </w:rPr>
            </w:r>
            <w:r>
              <w:rPr>
                <w:rFonts w:ascii="Calibri" w:hAnsi="Calibri"/>
                <w:b w:val="0"/>
                <w:sz w:val="17"/>
              </w:rPr>
              <w:t>£8,974</w:t>
            </w:r>
          </w:p>
        </w:tc>
      </w:tr>
      <w:tr>
        <w:tc>
          <w:tcPr>
            <w:tcW w:type="dxa" w:w="1152"/>
          </w:tcPr>
          <w:p>
            <w:pPr>
              <w:spacing w:after="20" w:before="20"/>
            </w:pPr>
            <w:r>
              <w:rPr>
                <w:rFonts w:ascii="Calibri" w:hAnsi="Calibri"/>
                <w:b w:val="0"/>
                <w:sz w:val="17"/>
              </w:rPr>
            </w:r>
            <w:r>
              <w:rPr>
                <w:rFonts w:ascii="Calibri" w:hAnsi="Calibri"/>
                <w:b w:val="0"/>
                <w:sz w:val="17"/>
              </w:rPr>
              <w:t>2010-01</w:t>
            </w:r>
          </w:p>
        </w:tc>
        <w:tc>
          <w:tcPr>
            <w:tcW w:type="dxa" w:w="1224"/>
          </w:tcPr>
          <w:p>
            <w:pPr>
              <w:spacing w:after="20" w:before="20"/>
              <w:jc w:val="right"/>
            </w:pPr>
            <w:r>
              <w:rPr>
                <w:rFonts w:ascii="Calibri" w:hAnsi="Calibri"/>
                <w:b w:val="0"/>
                <w:sz w:val="17"/>
              </w:rPr>
            </w:r>
            <w:r>
              <w:rPr>
                <w:rFonts w:ascii="Calibri" w:hAnsi="Calibri"/>
                <w:b w:val="0"/>
                <w:sz w:val="17"/>
              </w:rPr>
              <w:t>368</w:t>
            </w:r>
          </w:p>
        </w:tc>
        <w:tc>
          <w:tcPr>
            <w:tcW w:type="dxa" w:w="1080"/>
          </w:tcPr>
          <w:p>
            <w:pPr>
              <w:spacing w:after="20" w:before="20"/>
              <w:jc w:val="right"/>
            </w:pPr>
            <w:r>
              <w:rPr>
                <w:rFonts w:ascii="Calibri" w:hAnsi="Calibri"/>
                <w:b w:val="0"/>
                <w:sz w:val="17"/>
              </w:rPr>
            </w:r>
            <w:r>
              <w:rPr>
                <w:rFonts w:ascii="Calibri" w:hAnsi="Calibri"/>
                <w:b w:val="0"/>
                <w:sz w:val="17"/>
              </w:rPr>
              <w:t>21.5%</w:t>
            </w:r>
          </w:p>
        </w:tc>
        <w:tc>
          <w:tcPr>
            <w:tcW w:type="dxa" w:w="1080"/>
          </w:tcPr>
          <w:p>
            <w:pPr>
              <w:spacing w:after="20" w:before="20"/>
              <w:jc w:val="right"/>
            </w:pPr>
            <w:r>
              <w:rPr>
                <w:rFonts w:ascii="Calibri" w:hAnsi="Calibri"/>
                <w:b w:val="0"/>
                <w:sz w:val="17"/>
              </w:rPr>
            </w:r>
            <w:r>
              <w:rPr>
                <w:rFonts w:ascii="Calibri" w:hAnsi="Calibri"/>
                <w:b w:val="0"/>
                <w:sz w:val="17"/>
              </w:rPr>
              <w:t>31.5%</w:t>
            </w:r>
          </w:p>
        </w:tc>
        <w:tc>
          <w:tcPr>
            <w:tcW w:type="dxa" w:w="1080"/>
          </w:tcPr>
          <w:p>
            <w:pPr>
              <w:spacing w:after="20" w:before="20"/>
              <w:jc w:val="right"/>
            </w:pPr>
            <w:r>
              <w:rPr>
                <w:rFonts w:ascii="Calibri" w:hAnsi="Calibri"/>
                <w:b w:val="0"/>
                <w:sz w:val="17"/>
              </w:rPr>
            </w:r>
            <w:r>
              <w:rPr>
                <w:rFonts w:ascii="Calibri" w:hAnsi="Calibri"/>
                <w:b w:val="0"/>
                <w:sz w:val="17"/>
              </w:rPr>
              <w:t>26.9%</w:t>
            </w:r>
          </w:p>
        </w:tc>
        <w:tc>
          <w:tcPr>
            <w:tcW w:type="dxa" w:w="1296"/>
          </w:tcPr>
          <w:p>
            <w:pPr>
              <w:spacing w:after="20" w:before="20"/>
              <w:jc w:val="right"/>
            </w:pPr>
            <w:r>
              <w:rPr>
                <w:rFonts w:ascii="Calibri" w:hAnsi="Calibri"/>
                <w:b w:val="0"/>
                <w:sz w:val="17"/>
              </w:rPr>
            </w:r>
            <w:r>
              <w:rPr>
                <w:rFonts w:ascii="Calibri" w:hAnsi="Calibri"/>
                <w:b w:val="0"/>
                <w:sz w:val="17"/>
              </w:rPr>
              <w:t>£1.31M</w:t>
            </w:r>
          </w:p>
        </w:tc>
        <w:tc>
          <w:tcPr>
            <w:tcW w:type="dxa" w:w="1944"/>
          </w:tcPr>
          <w:p>
            <w:pPr>
              <w:spacing w:after="20" w:before="20"/>
              <w:jc w:val="right"/>
            </w:pPr>
            <w:r>
              <w:rPr>
                <w:rFonts w:ascii="Calibri" w:hAnsi="Calibri"/>
                <w:b w:val="0"/>
                <w:sz w:val="17"/>
              </w:rPr>
            </w:r>
            <w:r>
              <w:rPr>
                <w:rFonts w:ascii="Calibri" w:hAnsi="Calibri"/>
                <w:b w:val="0"/>
                <w:sz w:val="17"/>
              </w:rPr>
              <w:t>£3,561</w:t>
            </w:r>
          </w:p>
        </w:tc>
      </w:tr>
      <w:tr>
        <w:tc>
          <w:tcPr>
            <w:tcW w:type="dxa" w:w="1152"/>
          </w:tcPr>
          <w:p>
            <w:pPr>
              <w:spacing w:after="20" w:before="20"/>
            </w:pPr>
            <w:r>
              <w:rPr>
                <w:rFonts w:ascii="Calibri" w:hAnsi="Calibri"/>
                <w:b w:val="0"/>
                <w:sz w:val="17"/>
              </w:rPr>
            </w:r>
            <w:r>
              <w:rPr>
                <w:rFonts w:ascii="Calibri" w:hAnsi="Calibri"/>
                <w:b w:val="0"/>
                <w:sz w:val="17"/>
              </w:rPr>
              <w:t>2010-02</w:t>
            </w:r>
          </w:p>
        </w:tc>
        <w:tc>
          <w:tcPr>
            <w:tcW w:type="dxa" w:w="1224"/>
          </w:tcPr>
          <w:p>
            <w:pPr>
              <w:spacing w:after="20" w:before="20"/>
              <w:jc w:val="right"/>
            </w:pPr>
            <w:r>
              <w:rPr>
                <w:rFonts w:ascii="Calibri" w:hAnsi="Calibri"/>
                <w:b w:val="0"/>
                <w:sz w:val="17"/>
              </w:rPr>
            </w:r>
            <w:r>
              <w:rPr>
                <w:rFonts w:ascii="Calibri" w:hAnsi="Calibri"/>
                <w:b w:val="0"/>
                <w:sz w:val="17"/>
              </w:rPr>
              <w:t>375</w:t>
            </w:r>
          </w:p>
        </w:tc>
        <w:tc>
          <w:tcPr>
            <w:tcW w:type="dxa" w:w="1080"/>
          </w:tcPr>
          <w:p>
            <w:pPr>
              <w:spacing w:after="20" w:before="20"/>
              <w:jc w:val="right"/>
            </w:pPr>
            <w:r>
              <w:rPr>
                <w:rFonts w:ascii="Calibri" w:hAnsi="Calibri"/>
                <w:b w:val="0"/>
                <w:sz w:val="17"/>
              </w:rPr>
            </w:r>
            <w:r>
              <w:rPr>
                <w:rFonts w:ascii="Calibri" w:hAnsi="Calibri"/>
                <w:b w:val="0"/>
                <w:sz w:val="17"/>
              </w:rPr>
              <w:t>24.0%</w:t>
            </w:r>
          </w:p>
        </w:tc>
        <w:tc>
          <w:tcPr>
            <w:tcW w:type="dxa" w:w="1080"/>
          </w:tcPr>
          <w:p>
            <w:pPr>
              <w:spacing w:after="20" w:before="20"/>
              <w:jc w:val="right"/>
            </w:pPr>
            <w:r>
              <w:rPr>
                <w:rFonts w:ascii="Calibri" w:hAnsi="Calibri"/>
                <w:b w:val="0"/>
                <w:sz w:val="17"/>
              </w:rPr>
            </w:r>
            <w:r>
              <w:rPr>
                <w:rFonts w:ascii="Calibri" w:hAnsi="Calibri"/>
                <w:b w:val="0"/>
                <w:sz w:val="17"/>
              </w:rPr>
              <w:t>29.3%</w:t>
            </w:r>
          </w:p>
        </w:tc>
        <w:tc>
          <w:tcPr>
            <w:tcW w:type="dxa" w:w="1080"/>
          </w:tcPr>
          <w:p>
            <w:pPr>
              <w:spacing w:after="20" w:before="20"/>
              <w:jc w:val="right"/>
            </w:pPr>
            <w:r>
              <w:rPr>
                <w:rFonts w:ascii="Calibri" w:hAnsi="Calibri"/>
                <w:b w:val="0"/>
                <w:sz w:val="17"/>
              </w:rPr>
            </w:r>
            <w:r>
              <w:rPr>
                <w:rFonts w:ascii="Calibri" w:hAnsi="Calibri"/>
                <w:b w:val="0"/>
                <w:sz w:val="17"/>
              </w:rPr>
              <w:t>19.2%</w:t>
            </w:r>
          </w:p>
        </w:tc>
        <w:tc>
          <w:tcPr>
            <w:tcW w:type="dxa" w:w="1296"/>
          </w:tcPr>
          <w:p>
            <w:pPr>
              <w:spacing w:after="20" w:before="20"/>
              <w:jc w:val="right"/>
            </w:pPr>
            <w:r>
              <w:rPr>
                <w:rFonts w:ascii="Calibri" w:hAnsi="Calibri"/>
                <w:b w:val="0"/>
                <w:sz w:val="17"/>
              </w:rPr>
            </w:r>
            <w:r>
              <w:rPr>
                <w:rFonts w:ascii="Calibri" w:hAnsi="Calibri"/>
                <w:b w:val="0"/>
                <w:sz w:val="17"/>
              </w:rPr>
              <w:t>£999k</w:t>
            </w:r>
          </w:p>
        </w:tc>
        <w:tc>
          <w:tcPr>
            <w:tcW w:type="dxa" w:w="1944"/>
          </w:tcPr>
          <w:p>
            <w:pPr>
              <w:spacing w:after="20" w:before="20"/>
              <w:jc w:val="right"/>
            </w:pPr>
            <w:r>
              <w:rPr>
                <w:rFonts w:ascii="Calibri" w:hAnsi="Calibri"/>
                <w:b w:val="0"/>
                <w:sz w:val="17"/>
              </w:rPr>
            </w:r>
            <w:r>
              <w:rPr>
                <w:rFonts w:ascii="Calibri" w:hAnsi="Calibri"/>
                <w:b w:val="0"/>
                <w:sz w:val="17"/>
              </w:rPr>
              <w:t>£2,664</w:t>
            </w:r>
          </w:p>
        </w:tc>
      </w:tr>
      <w:tr>
        <w:tc>
          <w:tcPr>
            <w:tcW w:type="dxa" w:w="1152"/>
          </w:tcPr>
          <w:p>
            <w:pPr>
              <w:spacing w:after="20" w:before="20"/>
            </w:pPr>
            <w:r>
              <w:rPr>
                <w:rFonts w:ascii="Calibri" w:hAnsi="Calibri"/>
                <w:b w:val="0"/>
                <w:sz w:val="17"/>
              </w:rPr>
            </w:r>
            <w:r>
              <w:rPr>
                <w:rFonts w:ascii="Calibri" w:hAnsi="Calibri"/>
                <w:b w:val="0"/>
                <w:sz w:val="17"/>
              </w:rPr>
              <w:t>2010-03</w:t>
            </w:r>
          </w:p>
        </w:tc>
        <w:tc>
          <w:tcPr>
            <w:tcW w:type="dxa" w:w="1224"/>
          </w:tcPr>
          <w:p>
            <w:pPr>
              <w:spacing w:after="20" w:before="20"/>
              <w:jc w:val="right"/>
            </w:pPr>
            <w:r>
              <w:rPr>
                <w:rFonts w:ascii="Calibri" w:hAnsi="Calibri"/>
                <w:b w:val="0"/>
                <w:sz w:val="17"/>
              </w:rPr>
            </w:r>
            <w:r>
              <w:rPr>
                <w:rFonts w:ascii="Calibri" w:hAnsi="Calibri"/>
                <w:b w:val="0"/>
                <w:sz w:val="17"/>
              </w:rPr>
              <w:t>441</w:t>
            </w:r>
          </w:p>
        </w:tc>
        <w:tc>
          <w:tcPr>
            <w:tcW w:type="dxa" w:w="1080"/>
          </w:tcPr>
          <w:p>
            <w:pPr>
              <w:spacing w:after="20" w:before="20"/>
              <w:jc w:val="right"/>
            </w:pPr>
            <w:r>
              <w:rPr>
                <w:rFonts w:ascii="Calibri" w:hAnsi="Calibri"/>
                <w:b w:val="0"/>
                <w:sz w:val="17"/>
              </w:rPr>
            </w:r>
            <w:r>
              <w:rPr>
                <w:rFonts w:ascii="Calibri" w:hAnsi="Calibri"/>
                <w:b w:val="0"/>
                <w:sz w:val="17"/>
              </w:rPr>
              <w:t>19.0%</w:t>
            </w:r>
          </w:p>
        </w:tc>
        <w:tc>
          <w:tcPr>
            <w:tcW w:type="dxa" w:w="1080"/>
          </w:tcPr>
          <w:p>
            <w:pPr>
              <w:spacing w:after="20" w:before="20"/>
              <w:jc w:val="right"/>
            </w:pPr>
            <w:r>
              <w:rPr>
                <w:rFonts w:ascii="Calibri" w:hAnsi="Calibri"/>
                <w:b w:val="0"/>
                <w:sz w:val="17"/>
              </w:rPr>
            </w:r>
            <w:r>
              <w:rPr>
                <w:rFonts w:ascii="Calibri" w:hAnsi="Calibri"/>
                <w:b w:val="0"/>
                <w:sz w:val="17"/>
              </w:rPr>
              <w:t>24.3%</w:t>
            </w:r>
          </w:p>
        </w:tc>
        <w:tc>
          <w:tcPr>
            <w:tcW w:type="dxa" w:w="1080"/>
          </w:tcPr>
          <w:p>
            <w:pPr>
              <w:spacing w:after="20" w:before="20"/>
              <w:jc w:val="right"/>
            </w:pPr>
            <w:r>
              <w:rPr>
                <w:rFonts w:ascii="Calibri" w:hAnsi="Calibri"/>
                <w:b w:val="0"/>
                <w:sz w:val="17"/>
              </w:rPr>
            </w:r>
            <w:r>
              <w:rPr>
                <w:rFonts w:ascii="Calibri" w:hAnsi="Calibri"/>
                <w:b w:val="0"/>
                <w:sz w:val="17"/>
              </w:rPr>
              <w:t>24.7%</w:t>
            </w:r>
          </w:p>
        </w:tc>
        <w:tc>
          <w:tcPr>
            <w:tcW w:type="dxa" w:w="1296"/>
          </w:tcPr>
          <w:p>
            <w:pPr>
              <w:spacing w:after="20" w:before="20"/>
              <w:jc w:val="right"/>
            </w:pPr>
            <w:r>
              <w:rPr>
                <w:rFonts w:ascii="Calibri" w:hAnsi="Calibri"/>
                <w:b w:val="0"/>
                <w:sz w:val="17"/>
              </w:rPr>
            </w:r>
            <w:r>
              <w:rPr>
                <w:rFonts w:ascii="Calibri" w:hAnsi="Calibri"/>
                <w:b w:val="0"/>
                <w:sz w:val="17"/>
              </w:rPr>
              <w:t>£1.31M</w:t>
            </w:r>
          </w:p>
        </w:tc>
        <w:tc>
          <w:tcPr>
            <w:tcW w:type="dxa" w:w="1944"/>
          </w:tcPr>
          <w:p>
            <w:pPr>
              <w:spacing w:after="20" w:before="20"/>
              <w:jc w:val="right"/>
            </w:pPr>
            <w:r>
              <w:rPr>
                <w:rFonts w:ascii="Calibri" w:hAnsi="Calibri"/>
                <w:b w:val="0"/>
                <w:sz w:val="17"/>
              </w:rPr>
            </w:r>
            <w:r>
              <w:rPr>
                <w:rFonts w:ascii="Calibri" w:hAnsi="Calibri"/>
                <w:b w:val="0"/>
                <w:sz w:val="17"/>
              </w:rPr>
              <w:t>£2,981</w:t>
            </w:r>
          </w:p>
        </w:tc>
      </w:tr>
      <w:tr>
        <w:tc>
          <w:tcPr>
            <w:tcW w:type="dxa" w:w="1152"/>
          </w:tcPr>
          <w:p>
            <w:pPr>
              <w:spacing w:after="20" w:before="20"/>
            </w:pPr>
            <w:r>
              <w:rPr>
                <w:rFonts w:ascii="Calibri" w:hAnsi="Calibri"/>
                <w:b w:val="0"/>
                <w:sz w:val="17"/>
              </w:rPr>
            </w:r>
            <w:r>
              <w:rPr>
                <w:rFonts w:ascii="Calibri" w:hAnsi="Calibri"/>
                <w:b w:val="0"/>
                <w:sz w:val="17"/>
              </w:rPr>
              <w:t>2010-04</w:t>
            </w:r>
          </w:p>
        </w:tc>
        <w:tc>
          <w:tcPr>
            <w:tcW w:type="dxa" w:w="1224"/>
          </w:tcPr>
          <w:p>
            <w:pPr>
              <w:spacing w:after="20" w:before="20"/>
              <w:jc w:val="right"/>
            </w:pPr>
            <w:r>
              <w:rPr>
                <w:rFonts w:ascii="Calibri" w:hAnsi="Calibri"/>
                <w:b w:val="0"/>
                <w:sz w:val="17"/>
              </w:rPr>
            </w:r>
            <w:r>
              <w:rPr>
                <w:rFonts w:ascii="Calibri" w:hAnsi="Calibri"/>
                <w:b w:val="0"/>
                <w:sz w:val="17"/>
              </w:rPr>
              <w:t>294</w:t>
            </w:r>
          </w:p>
        </w:tc>
        <w:tc>
          <w:tcPr>
            <w:tcW w:type="dxa" w:w="1080"/>
          </w:tcPr>
          <w:p>
            <w:pPr>
              <w:spacing w:after="20" w:before="20"/>
              <w:jc w:val="right"/>
            </w:pPr>
            <w:r>
              <w:rPr>
                <w:rFonts w:ascii="Calibri" w:hAnsi="Calibri"/>
                <w:b w:val="0"/>
                <w:sz w:val="17"/>
              </w:rPr>
            </w:r>
            <w:r>
              <w:rPr>
                <w:rFonts w:ascii="Calibri" w:hAnsi="Calibri"/>
                <w:b w:val="0"/>
                <w:sz w:val="17"/>
              </w:rPr>
              <w:t>19.4%</w:t>
            </w:r>
          </w:p>
        </w:tc>
        <w:tc>
          <w:tcPr>
            <w:tcW w:type="dxa" w:w="1080"/>
          </w:tcPr>
          <w:p>
            <w:pPr>
              <w:spacing w:after="20" w:before="20"/>
              <w:jc w:val="right"/>
            </w:pPr>
            <w:r>
              <w:rPr>
                <w:rFonts w:ascii="Calibri" w:hAnsi="Calibri"/>
                <w:b w:val="0"/>
                <w:sz w:val="17"/>
              </w:rPr>
            </w:r>
            <w:r>
              <w:rPr>
                <w:rFonts w:ascii="Calibri" w:hAnsi="Calibri"/>
                <w:b w:val="0"/>
                <w:sz w:val="17"/>
              </w:rPr>
              <w:t>16.0%</w:t>
            </w:r>
          </w:p>
        </w:tc>
        <w:tc>
          <w:tcPr>
            <w:tcW w:type="dxa" w:w="1080"/>
          </w:tcPr>
          <w:p>
            <w:pPr>
              <w:spacing w:after="20" w:before="20"/>
              <w:jc w:val="right"/>
            </w:pPr>
            <w:r>
              <w:rPr>
                <w:rFonts w:ascii="Calibri" w:hAnsi="Calibri"/>
                <w:b w:val="0"/>
                <w:sz w:val="17"/>
              </w:rPr>
            </w:r>
            <w:r>
              <w:rPr>
                <w:rFonts w:ascii="Calibri" w:hAnsi="Calibri"/>
                <w:b w:val="0"/>
                <w:sz w:val="17"/>
              </w:rPr>
              <w:t>27.6%</w:t>
            </w:r>
          </w:p>
        </w:tc>
        <w:tc>
          <w:tcPr>
            <w:tcW w:type="dxa" w:w="1296"/>
          </w:tcPr>
          <w:p>
            <w:pPr>
              <w:spacing w:after="20" w:before="20"/>
              <w:jc w:val="right"/>
            </w:pPr>
            <w:r>
              <w:rPr>
                <w:rFonts w:ascii="Calibri" w:hAnsi="Calibri"/>
                <w:b w:val="0"/>
                <w:sz w:val="17"/>
              </w:rPr>
            </w:r>
            <w:r>
              <w:rPr>
                <w:rFonts w:ascii="Calibri" w:hAnsi="Calibri"/>
                <w:b w:val="0"/>
                <w:sz w:val="17"/>
              </w:rPr>
              <w:t>£548k</w:t>
            </w:r>
          </w:p>
        </w:tc>
        <w:tc>
          <w:tcPr>
            <w:tcW w:type="dxa" w:w="1944"/>
          </w:tcPr>
          <w:p>
            <w:pPr>
              <w:spacing w:after="20" w:before="20"/>
              <w:jc w:val="right"/>
            </w:pPr>
            <w:r>
              <w:rPr>
                <w:rFonts w:ascii="Calibri" w:hAnsi="Calibri"/>
                <w:b w:val="0"/>
                <w:sz w:val="17"/>
              </w:rPr>
            </w:r>
            <w:r>
              <w:rPr>
                <w:rFonts w:ascii="Calibri" w:hAnsi="Calibri"/>
                <w:b w:val="0"/>
                <w:sz w:val="17"/>
              </w:rPr>
              <w:t>£1,863</w:t>
            </w:r>
          </w:p>
        </w:tc>
      </w:tr>
      <w:tr>
        <w:tc>
          <w:tcPr>
            <w:tcW w:type="dxa" w:w="1152"/>
          </w:tcPr>
          <w:p>
            <w:pPr>
              <w:spacing w:after="20" w:before="20"/>
            </w:pPr>
            <w:r>
              <w:rPr>
                <w:rFonts w:ascii="Calibri" w:hAnsi="Calibri"/>
                <w:b w:val="0"/>
                <w:sz w:val="17"/>
              </w:rPr>
            </w:r>
            <w:r>
              <w:rPr>
                <w:rFonts w:ascii="Calibri" w:hAnsi="Calibri"/>
                <w:b w:val="0"/>
                <w:sz w:val="17"/>
              </w:rPr>
              <w:t>2010-05</w:t>
            </w:r>
          </w:p>
        </w:tc>
        <w:tc>
          <w:tcPr>
            <w:tcW w:type="dxa" w:w="1224"/>
          </w:tcPr>
          <w:p>
            <w:pPr>
              <w:spacing w:after="20" w:before="20"/>
              <w:jc w:val="right"/>
            </w:pPr>
            <w:r>
              <w:rPr>
                <w:rFonts w:ascii="Calibri" w:hAnsi="Calibri"/>
                <w:b w:val="0"/>
                <w:sz w:val="17"/>
              </w:rPr>
            </w:r>
            <w:r>
              <w:rPr>
                <w:rFonts w:ascii="Calibri" w:hAnsi="Calibri"/>
                <w:b w:val="0"/>
                <w:sz w:val="17"/>
              </w:rPr>
              <w:t>255</w:t>
            </w:r>
          </w:p>
        </w:tc>
        <w:tc>
          <w:tcPr>
            <w:tcW w:type="dxa" w:w="1080"/>
          </w:tcPr>
          <w:p>
            <w:pPr>
              <w:spacing w:after="20" w:before="20"/>
              <w:jc w:val="right"/>
            </w:pPr>
            <w:r>
              <w:rPr>
                <w:rFonts w:ascii="Calibri" w:hAnsi="Calibri"/>
                <w:b w:val="0"/>
                <w:sz w:val="17"/>
              </w:rPr>
            </w:r>
            <w:r>
              <w:rPr>
                <w:rFonts w:ascii="Calibri" w:hAnsi="Calibri"/>
                <w:b w:val="0"/>
                <w:sz w:val="17"/>
              </w:rPr>
              <w:t>15.7%</w:t>
            </w:r>
          </w:p>
        </w:tc>
        <w:tc>
          <w:tcPr>
            <w:tcW w:type="dxa" w:w="1080"/>
          </w:tcPr>
          <w:p>
            <w:pPr>
              <w:spacing w:after="20" w:before="20"/>
              <w:jc w:val="right"/>
            </w:pPr>
            <w:r>
              <w:rPr>
                <w:rFonts w:ascii="Calibri" w:hAnsi="Calibri"/>
                <w:b w:val="0"/>
                <w:sz w:val="17"/>
              </w:rPr>
            </w:r>
            <w:r>
              <w:rPr>
                <w:rFonts w:ascii="Calibri" w:hAnsi="Calibri"/>
                <w:b w:val="0"/>
                <w:sz w:val="17"/>
              </w:rPr>
              <w:t>17.6%</w:t>
            </w:r>
          </w:p>
        </w:tc>
        <w:tc>
          <w:tcPr>
            <w:tcW w:type="dxa" w:w="1080"/>
          </w:tcPr>
          <w:p>
            <w:pPr>
              <w:spacing w:after="20" w:before="20"/>
              <w:jc w:val="right"/>
            </w:pPr>
            <w:r>
              <w:rPr>
                <w:rFonts w:ascii="Calibri" w:hAnsi="Calibri"/>
                <w:b w:val="0"/>
                <w:sz w:val="17"/>
              </w:rPr>
            </w:r>
            <w:r>
              <w:rPr>
                <w:rFonts w:ascii="Calibri" w:hAnsi="Calibri"/>
                <w:b w:val="0"/>
                <w:sz w:val="17"/>
              </w:rPr>
              <w:t>21.2%</w:t>
            </w:r>
          </w:p>
        </w:tc>
        <w:tc>
          <w:tcPr>
            <w:tcW w:type="dxa" w:w="1296"/>
          </w:tcPr>
          <w:p>
            <w:pPr>
              <w:spacing w:after="20" w:before="20"/>
              <w:jc w:val="right"/>
            </w:pPr>
            <w:r>
              <w:rPr>
                <w:rFonts w:ascii="Calibri" w:hAnsi="Calibri"/>
                <w:b w:val="0"/>
                <w:sz w:val="17"/>
              </w:rPr>
            </w:r>
            <w:r>
              <w:rPr>
                <w:rFonts w:ascii="Calibri" w:hAnsi="Calibri"/>
                <w:b w:val="0"/>
                <w:sz w:val="17"/>
              </w:rPr>
              <w:t>£391k</w:t>
            </w:r>
          </w:p>
        </w:tc>
        <w:tc>
          <w:tcPr>
            <w:tcW w:type="dxa" w:w="1944"/>
          </w:tcPr>
          <w:p>
            <w:pPr>
              <w:spacing w:after="20" w:before="20"/>
              <w:jc w:val="right"/>
            </w:pPr>
            <w:r>
              <w:rPr>
                <w:rFonts w:ascii="Calibri" w:hAnsi="Calibri"/>
                <w:b w:val="0"/>
                <w:sz w:val="17"/>
              </w:rPr>
            </w:r>
            <w:r>
              <w:rPr>
                <w:rFonts w:ascii="Calibri" w:hAnsi="Calibri"/>
                <w:b w:val="0"/>
                <w:sz w:val="17"/>
              </w:rPr>
              <w:t>£1,533</w:t>
            </w:r>
          </w:p>
        </w:tc>
      </w:tr>
      <w:tr>
        <w:tc>
          <w:tcPr>
            <w:tcW w:type="dxa" w:w="1152"/>
          </w:tcPr>
          <w:p>
            <w:pPr>
              <w:spacing w:after="20" w:before="20"/>
            </w:pPr>
            <w:r>
              <w:rPr>
                <w:rFonts w:ascii="Calibri" w:hAnsi="Calibri"/>
                <w:b w:val="0"/>
                <w:sz w:val="17"/>
              </w:rPr>
            </w:r>
            <w:r>
              <w:rPr>
                <w:rFonts w:ascii="Calibri" w:hAnsi="Calibri"/>
                <w:b w:val="0"/>
                <w:sz w:val="17"/>
              </w:rPr>
              <w:t>2010-06</w:t>
            </w:r>
          </w:p>
        </w:tc>
        <w:tc>
          <w:tcPr>
            <w:tcW w:type="dxa" w:w="1224"/>
          </w:tcPr>
          <w:p>
            <w:pPr>
              <w:spacing w:after="20" w:before="20"/>
              <w:jc w:val="right"/>
            </w:pPr>
            <w:r>
              <w:rPr>
                <w:rFonts w:ascii="Calibri" w:hAnsi="Calibri"/>
                <w:b w:val="0"/>
                <w:sz w:val="17"/>
              </w:rPr>
            </w:r>
            <w:r>
              <w:rPr>
                <w:rFonts w:ascii="Calibri" w:hAnsi="Calibri"/>
                <w:b w:val="0"/>
                <w:sz w:val="17"/>
              </w:rPr>
              <w:t>267</w:t>
            </w:r>
          </w:p>
        </w:tc>
        <w:tc>
          <w:tcPr>
            <w:tcW w:type="dxa" w:w="1080"/>
          </w:tcPr>
          <w:p>
            <w:pPr>
              <w:spacing w:after="20" w:before="20"/>
              <w:jc w:val="right"/>
            </w:pPr>
            <w:r>
              <w:rPr>
                <w:rFonts w:ascii="Calibri" w:hAnsi="Calibri"/>
                <w:b w:val="0"/>
                <w:sz w:val="17"/>
              </w:rPr>
            </w:r>
            <w:r>
              <w:rPr>
                <w:rFonts w:ascii="Calibri" w:hAnsi="Calibri"/>
                <w:b w:val="0"/>
                <w:sz w:val="17"/>
              </w:rPr>
              <w:t>17.6%</w:t>
            </w:r>
          </w:p>
        </w:tc>
        <w:tc>
          <w:tcPr>
            <w:tcW w:type="dxa" w:w="1080"/>
          </w:tcPr>
          <w:p>
            <w:pPr>
              <w:spacing w:after="20" w:before="20"/>
              <w:jc w:val="right"/>
            </w:pPr>
            <w:r>
              <w:rPr>
                <w:rFonts w:ascii="Calibri" w:hAnsi="Calibri"/>
                <w:b w:val="0"/>
                <w:sz w:val="17"/>
              </w:rPr>
            </w:r>
            <w:r>
              <w:rPr>
                <w:rFonts w:ascii="Calibri" w:hAnsi="Calibri"/>
                <w:b w:val="0"/>
                <w:sz w:val="17"/>
              </w:rPr>
              <w:t>20.6%</w:t>
            </w:r>
          </w:p>
        </w:tc>
        <w:tc>
          <w:tcPr>
            <w:tcW w:type="dxa" w:w="1080"/>
          </w:tcPr>
          <w:p>
            <w:pPr>
              <w:spacing w:after="20" w:before="20"/>
              <w:jc w:val="right"/>
            </w:pPr>
            <w:r>
              <w:rPr>
                <w:rFonts w:ascii="Calibri" w:hAnsi="Calibri"/>
                <w:b w:val="0"/>
                <w:sz w:val="17"/>
              </w:rPr>
            </w:r>
            <w:r>
              <w:rPr>
                <w:rFonts w:ascii="Calibri" w:hAnsi="Calibri"/>
                <w:b w:val="0"/>
                <w:sz w:val="17"/>
              </w:rPr>
              <w:t>12.7%</w:t>
            </w:r>
          </w:p>
        </w:tc>
        <w:tc>
          <w:tcPr>
            <w:tcW w:type="dxa" w:w="1296"/>
          </w:tcPr>
          <w:p>
            <w:pPr>
              <w:spacing w:after="20" w:before="20"/>
              <w:jc w:val="right"/>
            </w:pPr>
            <w:r>
              <w:rPr>
                <w:rFonts w:ascii="Calibri" w:hAnsi="Calibri"/>
                <w:b w:val="0"/>
                <w:sz w:val="17"/>
              </w:rPr>
            </w:r>
            <w:r>
              <w:rPr>
                <w:rFonts w:ascii="Calibri" w:hAnsi="Calibri"/>
                <w:b w:val="0"/>
                <w:sz w:val="17"/>
              </w:rPr>
              <w:t>£600k</w:t>
            </w:r>
          </w:p>
        </w:tc>
        <w:tc>
          <w:tcPr>
            <w:tcW w:type="dxa" w:w="1944"/>
          </w:tcPr>
          <w:p>
            <w:pPr>
              <w:spacing w:after="20" w:before="20"/>
              <w:jc w:val="right"/>
            </w:pPr>
            <w:r>
              <w:rPr>
                <w:rFonts w:ascii="Calibri" w:hAnsi="Calibri"/>
                <w:b w:val="0"/>
                <w:sz w:val="17"/>
              </w:rPr>
            </w:r>
            <w:r>
              <w:rPr>
                <w:rFonts w:ascii="Calibri" w:hAnsi="Calibri"/>
                <w:b w:val="0"/>
                <w:sz w:val="17"/>
              </w:rPr>
              <w:t>£2,247</w:t>
            </w:r>
          </w:p>
        </w:tc>
      </w:tr>
      <w:tr>
        <w:tc>
          <w:tcPr>
            <w:tcW w:type="dxa" w:w="1152"/>
          </w:tcPr>
          <w:p>
            <w:pPr>
              <w:spacing w:after="20" w:before="20"/>
            </w:pPr>
            <w:r>
              <w:rPr>
                <w:rFonts w:ascii="Calibri" w:hAnsi="Calibri"/>
                <w:b w:val="0"/>
                <w:sz w:val="17"/>
              </w:rPr>
            </w:r>
            <w:r>
              <w:rPr>
                <w:rFonts w:ascii="Calibri" w:hAnsi="Calibri"/>
                <w:b w:val="0"/>
                <w:sz w:val="17"/>
              </w:rPr>
              <w:t>2010-07</w:t>
            </w:r>
          </w:p>
        </w:tc>
        <w:tc>
          <w:tcPr>
            <w:tcW w:type="dxa" w:w="1224"/>
          </w:tcPr>
          <w:p>
            <w:pPr>
              <w:spacing w:after="20" w:before="20"/>
              <w:jc w:val="right"/>
            </w:pPr>
            <w:r>
              <w:rPr>
                <w:rFonts w:ascii="Calibri" w:hAnsi="Calibri"/>
                <w:b w:val="0"/>
                <w:sz w:val="17"/>
              </w:rPr>
            </w:r>
            <w:r>
              <w:rPr>
                <w:rFonts w:ascii="Calibri" w:hAnsi="Calibri"/>
                <w:b w:val="0"/>
                <w:sz w:val="17"/>
              </w:rPr>
              <w:t>186</w:t>
            </w:r>
          </w:p>
        </w:tc>
        <w:tc>
          <w:tcPr>
            <w:tcW w:type="dxa" w:w="1080"/>
          </w:tcPr>
          <w:p>
            <w:pPr>
              <w:spacing w:after="20" w:before="20"/>
              <w:jc w:val="right"/>
            </w:pPr>
            <w:r>
              <w:rPr>
                <w:rFonts w:ascii="Calibri" w:hAnsi="Calibri"/>
                <w:b w:val="0"/>
                <w:sz w:val="17"/>
              </w:rPr>
            </w:r>
            <w:r>
              <w:rPr>
                <w:rFonts w:ascii="Calibri" w:hAnsi="Calibri"/>
                <w:b w:val="0"/>
                <w:sz w:val="17"/>
              </w:rPr>
              <w:t>15.6%</w:t>
            </w:r>
          </w:p>
        </w:tc>
        <w:tc>
          <w:tcPr>
            <w:tcW w:type="dxa" w:w="1080"/>
          </w:tcPr>
          <w:p>
            <w:pPr>
              <w:spacing w:after="20" w:before="20"/>
              <w:jc w:val="right"/>
            </w:pPr>
            <w:r>
              <w:rPr>
                <w:rFonts w:ascii="Calibri" w:hAnsi="Calibri"/>
                <w:b w:val="0"/>
                <w:sz w:val="17"/>
              </w:rPr>
            </w:r>
            <w:r>
              <w:rPr>
                <w:rFonts w:ascii="Calibri" w:hAnsi="Calibri"/>
                <w:b w:val="0"/>
                <w:sz w:val="17"/>
              </w:rPr>
              <w:t>29.6%</w:t>
            </w:r>
          </w:p>
        </w:tc>
        <w:tc>
          <w:tcPr>
            <w:tcW w:type="dxa" w:w="1080"/>
          </w:tcPr>
          <w:p>
            <w:pPr>
              <w:spacing w:after="20" w:before="20"/>
              <w:jc w:val="right"/>
            </w:pPr>
            <w:r>
              <w:rPr>
                <w:rFonts w:ascii="Calibri" w:hAnsi="Calibri"/>
                <w:b w:val="0"/>
                <w:sz w:val="17"/>
              </w:rPr>
            </w:r>
            <w:r>
              <w:rPr>
                <w:rFonts w:ascii="Calibri" w:hAnsi="Calibri"/>
                <w:b w:val="0"/>
                <w:sz w:val="17"/>
              </w:rPr>
              <w:t>11.3%</w:t>
            </w:r>
          </w:p>
        </w:tc>
        <w:tc>
          <w:tcPr>
            <w:tcW w:type="dxa" w:w="1296"/>
          </w:tcPr>
          <w:p>
            <w:pPr>
              <w:spacing w:after="20" w:before="20"/>
              <w:jc w:val="right"/>
            </w:pPr>
            <w:r>
              <w:rPr>
                <w:rFonts w:ascii="Calibri" w:hAnsi="Calibri"/>
                <w:b w:val="0"/>
                <w:sz w:val="17"/>
              </w:rPr>
            </w:r>
            <w:r>
              <w:rPr>
                <w:rFonts w:ascii="Calibri" w:hAnsi="Calibri"/>
                <w:b w:val="0"/>
                <w:sz w:val="17"/>
              </w:rPr>
              <w:t>£312k</w:t>
            </w:r>
          </w:p>
        </w:tc>
        <w:tc>
          <w:tcPr>
            <w:tcW w:type="dxa" w:w="1944"/>
          </w:tcPr>
          <w:p>
            <w:pPr>
              <w:spacing w:after="20" w:before="20"/>
              <w:jc w:val="right"/>
            </w:pPr>
            <w:r>
              <w:rPr>
                <w:rFonts w:ascii="Calibri" w:hAnsi="Calibri"/>
                <w:b w:val="0"/>
                <w:sz w:val="17"/>
              </w:rPr>
            </w:r>
            <w:r>
              <w:rPr>
                <w:rFonts w:ascii="Calibri" w:hAnsi="Calibri"/>
                <w:b w:val="0"/>
                <w:sz w:val="17"/>
              </w:rPr>
              <w:t>£1,675</w:t>
            </w:r>
          </w:p>
        </w:tc>
      </w:tr>
      <w:tr>
        <w:tc>
          <w:tcPr>
            <w:tcW w:type="dxa" w:w="1152"/>
          </w:tcPr>
          <w:p>
            <w:pPr>
              <w:spacing w:after="20" w:before="20"/>
            </w:pPr>
            <w:r>
              <w:rPr>
                <w:rFonts w:ascii="Calibri" w:hAnsi="Calibri"/>
                <w:b w:val="0"/>
                <w:sz w:val="17"/>
              </w:rPr>
            </w:r>
            <w:r>
              <w:rPr>
                <w:rFonts w:ascii="Calibri" w:hAnsi="Calibri"/>
                <w:b w:val="0"/>
                <w:sz w:val="17"/>
              </w:rPr>
              <w:t>2010-08</w:t>
            </w:r>
          </w:p>
        </w:tc>
        <w:tc>
          <w:tcPr>
            <w:tcW w:type="dxa" w:w="1224"/>
          </w:tcPr>
          <w:p>
            <w:pPr>
              <w:spacing w:after="20" w:before="20"/>
              <w:jc w:val="right"/>
            </w:pPr>
            <w:r>
              <w:rPr>
                <w:rFonts w:ascii="Calibri" w:hAnsi="Calibri"/>
                <w:b w:val="0"/>
                <w:sz w:val="17"/>
              </w:rPr>
            </w:r>
            <w:r>
              <w:rPr>
                <w:rFonts w:ascii="Calibri" w:hAnsi="Calibri"/>
                <w:b w:val="0"/>
                <w:sz w:val="17"/>
              </w:rPr>
              <w:t>163</w:t>
            </w:r>
          </w:p>
        </w:tc>
        <w:tc>
          <w:tcPr>
            <w:tcW w:type="dxa" w:w="1080"/>
          </w:tcPr>
          <w:p>
            <w:pPr>
              <w:spacing w:after="20" w:before="20"/>
              <w:jc w:val="right"/>
            </w:pPr>
            <w:r>
              <w:rPr>
                <w:rFonts w:ascii="Calibri" w:hAnsi="Calibri"/>
                <w:b w:val="0"/>
                <w:sz w:val="17"/>
              </w:rPr>
            </w:r>
            <w:r>
              <w:rPr>
                <w:rFonts w:ascii="Calibri" w:hAnsi="Calibri"/>
                <w:b w:val="0"/>
                <w:sz w:val="17"/>
              </w:rPr>
              <w:t>19.6%</w:t>
            </w:r>
          </w:p>
        </w:tc>
        <w:tc>
          <w:tcPr>
            <w:tcW w:type="dxa" w:w="1080"/>
          </w:tcPr>
          <w:p>
            <w:pPr>
              <w:spacing w:after="20" w:before="20"/>
              <w:jc w:val="right"/>
            </w:pPr>
            <w:r>
              <w:rPr>
                <w:rFonts w:ascii="Calibri" w:hAnsi="Calibri"/>
                <w:b w:val="0"/>
                <w:sz w:val="17"/>
              </w:rPr>
            </w:r>
            <w:r>
              <w:rPr>
                <w:rFonts w:ascii="Calibri" w:hAnsi="Calibri"/>
                <w:b w:val="0"/>
                <w:sz w:val="17"/>
              </w:rPr>
              <w:t>32.5%</w:t>
            </w:r>
          </w:p>
        </w:tc>
        <w:tc>
          <w:tcPr>
            <w:tcW w:type="dxa" w:w="1080"/>
          </w:tcPr>
          <w:p>
            <w:pPr>
              <w:spacing w:after="20" w:before="20"/>
              <w:jc w:val="right"/>
            </w:pPr>
            <w:r>
              <w:rPr>
                <w:rFonts w:ascii="Calibri" w:hAnsi="Calibri"/>
                <w:b w:val="0"/>
                <w:sz w:val="17"/>
              </w:rPr>
            </w:r>
            <w:r>
              <w:rPr>
                <w:rFonts w:ascii="Calibri" w:hAnsi="Calibri"/>
                <w:b w:val="0"/>
                <w:sz w:val="17"/>
              </w:rPr>
              <w:t>9.8%</w:t>
            </w:r>
          </w:p>
        </w:tc>
        <w:tc>
          <w:tcPr>
            <w:tcW w:type="dxa" w:w="1296"/>
          </w:tcPr>
          <w:p>
            <w:pPr>
              <w:spacing w:after="20" w:before="20"/>
              <w:jc w:val="right"/>
            </w:pPr>
            <w:r>
              <w:rPr>
                <w:rFonts w:ascii="Calibri" w:hAnsi="Calibri"/>
                <w:b w:val="0"/>
                <w:sz w:val="17"/>
              </w:rPr>
            </w:r>
            <w:r>
              <w:rPr>
                <w:rFonts w:ascii="Calibri" w:hAnsi="Calibri"/>
                <w:b w:val="0"/>
                <w:sz w:val="17"/>
              </w:rPr>
              <w:t>£250k</w:t>
            </w:r>
          </w:p>
        </w:tc>
        <w:tc>
          <w:tcPr>
            <w:tcW w:type="dxa" w:w="1944"/>
          </w:tcPr>
          <w:p>
            <w:pPr>
              <w:spacing w:after="20" w:before="20"/>
              <w:jc w:val="right"/>
            </w:pPr>
            <w:r>
              <w:rPr>
                <w:rFonts w:ascii="Calibri" w:hAnsi="Calibri"/>
                <w:b w:val="0"/>
                <w:sz w:val="17"/>
              </w:rPr>
            </w:r>
            <w:r>
              <w:rPr>
                <w:rFonts w:ascii="Calibri" w:hAnsi="Calibri"/>
                <w:b w:val="0"/>
                <w:sz w:val="17"/>
              </w:rPr>
              <w:t>£1,537</w:t>
            </w:r>
          </w:p>
        </w:tc>
      </w:tr>
      <w:tr>
        <w:tc>
          <w:tcPr>
            <w:tcW w:type="dxa" w:w="1152"/>
          </w:tcPr>
          <w:p>
            <w:pPr>
              <w:spacing w:after="20" w:before="20"/>
            </w:pPr>
            <w:r>
              <w:rPr>
                <w:rFonts w:ascii="Calibri" w:hAnsi="Calibri"/>
                <w:b w:val="0"/>
                <w:sz w:val="17"/>
              </w:rPr>
            </w:r>
            <w:r>
              <w:rPr>
                <w:rFonts w:ascii="Calibri" w:hAnsi="Calibri"/>
                <w:b w:val="0"/>
                <w:sz w:val="17"/>
              </w:rPr>
              <w:t>2010-09</w:t>
            </w:r>
          </w:p>
        </w:tc>
        <w:tc>
          <w:tcPr>
            <w:tcW w:type="dxa" w:w="1224"/>
          </w:tcPr>
          <w:p>
            <w:pPr>
              <w:spacing w:after="20" w:before="20"/>
              <w:jc w:val="right"/>
            </w:pPr>
            <w:r>
              <w:rPr>
                <w:rFonts w:ascii="Calibri" w:hAnsi="Calibri"/>
                <w:b w:val="0"/>
                <w:sz w:val="17"/>
              </w:rPr>
            </w:r>
            <w:r>
              <w:rPr>
                <w:rFonts w:ascii="Calibri" w:hAnsi="Calibri"/>
                <w:b w:val="0"/>
                <w:sz w:val="17"/>
              </w:rPr>
              <w:t>239</w:t>
            </w:r>
          </w:p>
        </w:tc>
        <w:tc>
          <w:tcPr>
            <w:tcW w:type="dxa" w:w="1080"/>
          </w:tcPr>
          <w:p>
            <w:pPr>
              <w:spacing w:after="20" w:before="20"/>
              <w:jc w:val="right"/>
            </w:pPr>
            <w:r>
              <w:rPr>
                <w:rFonts w:ascii="Calibri" w:hAnsi="Calibri"/>
                <w:b w:val="0"/>
                <w:sz w:val="17"/>
              </w:rPr>
            </w:r>
            <w:r>
              <w:rPr>
                <w:rFonts w:ascii="Calibri" w:hAnsi="Calibri"/>
                <w:b w:val="0"/>
                <w:sz w:val="17"/>
              </w:rPr>
              <w:t>23.4%</w:t>
            </w:r>
          </w:p>
        </w:tc>
        <w:tc>
          <w:tcPr>
            <w:tcW w:type="dxa" w:w="1080"/>
          </w:tcPr>
          <w:p>
            <w:pPr>
              <w:spacing w:after="20" w:before="20"/>
              <w:jc w:val="right"/>
            </w:pPr>
            <w:r>
              <w:rPr>
                <w:rFonts w:ascii="Calibri" w:hAnsi="Calibri"/>
                <w:b w:val="0"/>
                <w:sz w:val="17"/>
              </w:rPr>
            </w:r>
            <w:r>
              <w:rPr>
                <w:rFonts w:ascii="Calibri" w:hAnsi="Calibri"/>
                <w:b w:val="0"/>
                <w:sz w:val="17"/>
              </w:rPr>
              <w:t>13.0%</w:t>
            </w:r>
          </w:p>
        </w:tc>
        <w:tc>
          <w:tcPr>
            <w:tcW w:type="dxa" w:w="1080"/>
          </w:tcPr>
          <w:p>
            <w:pPr>
              <w:spacing w:after="20" w:before="20"/>
              <w:jc w:val="right"/>
            </w:pPr>
            <w:r>
              <w:rPr>
                <w:rFonts w:ascii="Calibri" w:hAnsi="Calibri"/>
                <w:b w:val="0"/>
                <w:sz w:val="17"/>
              </w:rPr>
            </w:r>
            <w:r>
              <w:rPr>
                <w:rFonts w:ascii="Calibri" w:hAnsi="Calibri"/>
                <w:b w:val="0"/>
                <w:sz w:val="17"/>
              </w:rPr>
              <w:t>13.8%</w:t>
            </w:r>
          </w:p>
        </w:tc>
        <w:tc>
          <w:tcPr>
            <w:tcW w:type="dxa" w:w="1296"/>
          </w:tcPr>
          <w:p>
            <w:pPr>
              <w:spacing w:after="20" w:before="20"/>
              <w:jc w:val="right"/>
            </w:pPr>
            <w:r>
              <w:rPr>
                <w:rFonts w:ascii="Calibri" w:hAnsi="Calibri"/>
                <w:b w:val="0"/>
                <w:sz w:val="17"/>
              </w:rPr>
            </w:r>
            <w:r>
              <w:rPr>
                <w:rFonts w:ascii="Calibri" w:hAnsi="Calibri"/>
                <w:b w:val="0"/>
                <w:sz w:val="17"/>
              </w:rPr>
              <w:t>£598k</w:t>
            </w:r>
          </w:p>
        </w:tc>
        <w:tc>
          <w:tcPr>
            <w:tcW w:type="dxa" w:w="1944"/>
          </w:tcPr>
          <w:p>
            <w:pPr>
              <w:spacing w:after="20" w:before="20"/>
              <w:jc w:val="right"/>
            </w:pPr>
            <w:r>
              <w:rPr>
                <w:rFonts w:ascii="Calibri" w:hAnsi="Calibri"/>
                <w:b w:val="0"/>
                <w:sz w:val="17"/>
              </w:rPr>
            </w:r>
            <w:r>
              <w:rPr>
                <w:rFonts w:ascii="Calibri" w:hAnsi="Calibri"/>
                <w:b w:val="0"/>
                <w:sz w:val="17"/>
              </w:rPr>
              <w:t>£2,502</w:t>
            </w:r>
          </w:p>
        </w:tc>
      </w:tr>
      <w:tr>
        <w:tc>
          <w:tcPr>
            <w:tcW w:type="dxa" w:w="1152"/>
          </w:tcPr>
          <w:p>
            <w:pPr>
              <w:spacing w:after="20" w:before="20"/>
            </w:pPr>
            <w:r>
              <w:rPr>
                <w:rFonts w:ascii="Calibri" w:hAnsi="Calibri"/>
                <w:b w:val="0"/>
                <w:sz w:val="17"/>
              </w:rPr>
            </w:r>
            <w:r>
              <w:rPr>
                <w:rFonts w:ascii="Calibri" w:hAnsi="Calibri"/>
                <w:b w:val="0"/>
                <w:sz w:val="17"/>
              </w:rPr>
              <w:t>2010-10</w:t>
            </w:r>
          </w:p>
        </w:tc>
        <w:tc>
          <w:tcPr>
            <w:tcW w:type="dxa" w:w="1224"/>
          </w:tcPr>
          <w:p>
            <w:pPr>
              <w:spacing w:after="20" w:before="20"/>
              <w:jc w:val="right"/>
            </w:pPr>
            <w:r>
              <w:rPr>
                <w:rFonts w:ascii="Calibri" w:hAnsi="Calibri"/>
                <w:b w:val="0"/>
                <w:sz w:val="17"/>
              </w:rPr>
            </w:r>
            <w:r>
              <w:rPr>
                <w:rFonts w:ascii="Calibri" w:hAnsi="Calibri"/>
                <w:b w:val="0"/>
                <w:sz w:val="17"/>
              </w:rPr>
              <w:t>375</w:t>
            </w:r>
          </w:p>
        </w:tc>
        <w:tc>
          <w:tcPr>
            <w:tcW w:type="dxa" w:w="1080"/>
          </w:tcPr>
          <w:p>
            <w:pPr>
              <w:spacing w:after="20" w:before="20"/>
              <w:jc w:val="right"/>
            </w:pPr>
            <w:r>
              <w:rPr>
                <w:rFonts w:ascii="Calibri" w:hAnsi="Calibri"/>
                <w:b w:val="0"/>
                <w:sz w:val="17"/>
              </w:rPr>
            </w:r>
            <w:r>
              <w:rPr>
                <w:rFonts w:ascii="Calibri" w:hAnsi="Calibri"/>
                <w:b w:val="0"/>
                <w:sz w:val="17"/>
              </w:rPr>
              <w:t>25.9%</w:t>
            </w:r>
          </w:p>
        </w:tc>
        <w:tc>
          <w:tcPr>
            <w:tcW w:type="dxa" w:w="1080"/>
          </w:tcPr>
          <w:p>
            <w:pPr>
              <w:spacing w:after="20" w:before="20"/>
              <w:jc w:val="right"/>
            </w:pPr>
            <w:r>
              <w:rPr>
                <w:rFonts w:ascii="Calibri" w:hAnsi="Calibri"/>
                <w:b w:val="0"/>
                <w:sz w:val="17"/>
              </w:rPr>
            </w:r>
            <w:r>
              <w:rPr>
                <w:rFonts w:ascii="Calibri" w:hAnsi="Calibri"/>
                <w:b w:val="0"/>
                <w:sz w:val="17"/>
              </w:rPr>
              <w:t>12.5%</w:t>
            </w:r>
          </w:p>
        </w:tc>
        <w:tc>
          <w:tcPr>
            <w:tcW w:type="dxa" w:w="1080"/>
          </w:tcPr>
          <w:p>
            <w:pPr>
              <w:spacing w:after="20" w:before="20"/>
              <w:jc w:val="right"/>
            </w:pPr>
            <w:r>
              <w:rPr>
                <w:rFonts w:ascii="Calibri" w:hAnsi="Calibri"/>
                <w:b w:val="0"/>
                <w:sz w:val="17"/>
              </w:rPr>
            </w:r>
            <w:r>
              <w:rPr>
                <w:rFonts w:ascii="Calibri" w:hAnsi="Calibri"/>
                <w:b w:val="0"/>
                <w:sz w:val="17"/>
              </w:rPr>
              <w:t>13.1%</w:t>
            </w:r>
          </w:p>
        </w:tc>
        <w:tc>
          <w:tcPr>
            <w:tcW w:type="dxa" w:w="1296"/>
          </w:tcPr>
          <w:p>
            <w:pPr>
              <w:spacing w:after="20" w:before="20"/>
              <w:jc w:val="right"/>
            </w:pPr>
            <w:r>
              <w:rPr>
                <w:rFonts w:ascii="Calibri" w:hAnsi="Calibri"/>
                <w:b w:val="0"/>
                <w:sz w:val="17"/>
              </w:rPr>
            </w:r>
            <w:r>
              <w:rPr>
                <w:rFonts w:ascii="Calibri" w:hAnsi="Calibri"/>
                <w:b w:val="0"/>
                <w:sz w:val="17"/>
              </w:rPr>
              <w:t>£529k</w:t>
            </w:r>
          </w:p>
        </w:tc>
        <w:tc>
          <w:tcPr>
            <w:tcW w:type="dxa" w:w="1944"/>
          </w:tcPr>
          <w:p>
            <w:pPr>
              <w:spacing w:after="20" w:before="20"/>
              <w:jc w:val="right"/>
            </w:pPr>
            <w:r>
              <w:rPr>
                <w:rFonts w:ascii="Calibri" w:hAnsi="Calibri"/>
                <w:b w:val="0"/>
                <w:sz w:val="17"/>
              </w:rPr>
            </w:r>
            <w:r>
              <w:rPr>
                <w:rFonts w:ascii="Calibri" w:hAnsi="Calibri"/>
                <w:b w:val="0"/>
                <w:sz w:val="17"/>
              </w:rPr>
              <w:t>£1,411</w:t>
            </w:r>
          </w:p>
        </w:tc>
      </w:tr>
      <w:tr>
        <w:tc>
          <w:tcPr>
            <w:tcW w:type="dxa" w:w="1152"/>
          </w:tcPr>
          <w:p>
            <w:pPr>
              <w:spacing w:after="20" w:before="20"/>
            </w:pPr>
            <w:r>
              <w:rPr>
                <w:rFonts w:ascii="Calibri" w:hAnsi="Calibri"/>
                <w:b w:val="0"/>
                <w:sz w:val="17"/>
              </w:rPr>
            </w:r>
            <w:r>
              <w:rPr>
                <w:rFonts w:ascii="Calibri" w:hAnsi="Calibri"/>
                <w:b w:val="0"/>
                <w:sz w:val="17"/>
              </w:rPr>
              <w:t>2010-11</w:t>
            </w:r>
          </w:p>
        </w:tc>
        <w:tc>
          <w:tcPr>
            <w:tcW w:type="dxa" w:w="1224"/>
          </w:tcPr>
          <w:p>
            <w:pPr>
              <w:spacing w:after="20" w:before="20"/>
              <w:jc w:val="right"/>
            </w:pPr>
            <w:r>
              <w:rPr>
                <w:rFonts w:ascii="Calibri" w:hAnsi="Calibri"/>
                <w:b w:val="0"/>
                <w:sz w:val="17"/>
              </w:rPr>
            </w:r>
            <w:r>
              <w:rPr>
                <w:rFonts w:ascii="Calibri" w:hAnsi="Calibri"/>
                <w:b w:val="0"/>
                <w:sz w:val="17"/>
              </w:rPr>
              <w:t>326</w:t>
            </w:r>
          </w:p>
        </w:tc>
        <w:tc>
          <w:tcPr>
            <w:tcW w:type="dxa" w:w="1080"/>
          </w:tcPr>
          <w:p>
            <w:pPr>
              <w:spacing w:after="20" w:before="20"/>
              <w:jc w:val="right"/>
            </w:pPr>
            <w:r>
              <w:rPr>
                <w:rFonts w:ascii="Calibri" w:hAnsi="Calibri"/>
                <w:b w:val="0"/>
                <w:sz w:val="17"/>
              </w:rPr>
            </w:r>
            <w:r>
              <w:rPr>
                <w:rFonts w:ascii="Calibri" w:hAnsi="Calibri"/>
                <w:b w:val="0"/>
                <w:sz w:val="17"/>
              </w:rPr>
              <w:t>17.5%</w:t>
            </w:r>
          </w:p>
        </w:tc>
        <w:tc>
          <w:tcPr>
            <w:tcW w:type="dxa" w:w="1080"/>
          </w:tcPr>
          <w:p>
            <w:pPr>
              <w:spacing w:after="20" w:before="20"/>
              <w:jc w:val="right"/>
            </w:pPr>
            <w:r>
              <w:rPr>
                <w:rFonts w:ascii="Calibri" w:hAnsi="Calibri"/>
                <w:b w:val="0"/>
                <w:sz w:val="17"/>
              </w:rPr>
            </w:r>
            <w:r>
              <w:rPr>
                <w:rFonts w:ascii="Calibri" w:hAnsi="Calibri"/>
                <w:b w:val="0"/>
                <w:sz w:val="17"/>
              </w:rPr>
              <w:t>9.5%</w:t>
            </w:r>
          </w:p>
        </w:tc>
        <w:tc>
          <w:tcPr>
            <w:tcW w:type="dxa" w:w="1080"/>
          </w:tcPr>
          <w:p>
            <w:pPr>
              <w:spacing w:after="20" w:before="20"/>
              <w:jc w:val="right"/>
            </w:pPr>
            <w:r>
              <w:rPr>
                <w:rFonts w:ascii="Calibri" w:hAnsi="Calibri"/>
                <w:b w:val="0"/>
                <w:sz w:val="17"/>
              </w:rPr>
            </w:r>
            <w:r>
              <w:rPr>
                <w:rFonts w:ascii="Calibri" w:hAnsi="Calibri"/>
                <w:b w:val="0"/>
                <w:sz w:val="17"/>
              </w:rPr>
              <w:t>12.9%</w:t>
            </w:r>
          </w:p>
        </w:tc>
        <w:tc>
          <w:tcPr>
            <w:tcW w:type="dxa" w:w="1296"/>
          </w:tcPr>
          <w:p>
            <w:pPr>
              <w:spacing w:after="20" w:before="20"/>
              <w:jc w:val="right"/>
            </w:pPr>
            <w:r>
              <w:rPr>
                <w:rFonts w:ascii="Calibri" w:hAnsi="Calibri"/>
                <w:b w:val="0"/>
                <w:sz w:val="17"/>
              </w:rPr>
            </w:r>
            <w:r>
              <w:rPr>
                <w:rFonts w:ascii="Calibri" w:hAnsi="Calibri"/>
                <w:b w:val="0"/>
                <w:sz w:val="17"/>
              </w:rPr>
              <w:t>£364k</w:t>
            </w:r>
          </w:p>
        </w:tc>
        <w:tc>
          <w:tcPr>
            <w:tcW w:type="dxa" w:w="1944"/>
          </w:tcPr>
          <w:p>
            <w:pPr>
              <w:spacing w:after="20" w:before="20"/>
              <w:jc w:val="right"/>
            </w:pPr>
            <w:r>
              <w:rPr>
                <w:rFonts w:ascii="Calibri" w:hAnsi="Calibri"/>
                <w:b w:val="0"/>
                <w:sz w:val="17"/>
              </w:rPr>
            </w:r>
            <w:r>
              <w:rPr>
                <w:rFonts w:ascii="Calibri" w:hAnsi="Calibri"/>
                <w:b w:val="0"/>
                <w:sz w:val="17"/>
              </w:rPr>
              <w:t>£1,117</w:t>
            </w:r>
          </w:p>
        </w:tc>
      </w:tr>
      <w:tr>
        <w:tc>
          <w:tcPr>
            <w:tcW w:type="dxa" w:w="1152"/>
          </w:tcPr>
          <w:p>
            <w:pPr>
              <w:spacing w:after="20" w:before="20"/>
            </w:pPr>
            <w:r>
              <w:rPr>
                <w:rFonts w:ascii="Calibri" w:hAnsi="Calibri"/>
                <w:b w:val="0"/>
                <w:sz w:val="17"/>
              </w:rPr>
            </w:r>
            <w:r>
              <w:rPr>
                <w:rFonts w:ascii="Calibri" w:hAnsi="Calibri"/>
                <w:b w:val="0"/>
                <w:sz w:val="17"/>
              </w:rPr>
              <w:t>2010-12</w:t>
            </w:r>
          </w:p>
        </w:tc>
        <w:tc>
          <w:tcPr>
            <w:tcW w:type="dxa" w:w="1224"/>
          </w:tcPr>
          <w:p>
            <w:pPr>
              <w:spacing w:after="20" w:before="20"/>
              <w:jc w:val="right"/>
            </w:pPr>
            <w:r>
              <w:rPr>
                <w:rFonts w:ascii="Calibri" w:hAnsi="Calibri"/>
                <w:b w:val="0"/>
                <w:sz w:val="17"/>
              </w:rPr>
            </w:r>
            <w:r>
              <w:rPr>
                <w:rFonts w:ascii="Calibri" w:hAnsi="Calibri"/>
                <w:b w:val="0"/>
                <w:sz w:val="17"/>
              </w:rPr>
              <w:t>76</w:t>
            </w:r>
          </w:p>
        </w:tc>
        <w:tc>
          <w:tcPr>
            <w:tcW w:type="dxa" w:w="1080"/>
          </w:tcPr>
          <w:p>
            <w:pPr>
              <w:spacing w:after="20" w:before="20"/>
              <w:jc w:val="right"/>
            </w:pPr>
            <w:r>
              <w:rPr>
                <w:rFonts w:ascii="Calibri" w:hAnsi="Calibri"/>
                <w:b w:val="0"/>
                <w:sz w:val="17"/>
              </w:rPr>
            </w:r>
            <w:r>
              <w:rPr>
                <w:rFonts w:ascii="Calibri" w:hAnsi="Calibri"/>
                <w:b w:val="0"/>
                <w:sz w:val="17"/>
              </w:rPr>
              <w:t>9.2%</w:t>
            </w:r>
          </w:p>
        </w:tc>
        <w:tc>
          <w:tcPr>
            <w:tcW w:type="dxa" w:w="1080"/>
          </w:tcPr>
          <w:p>
            <w:pPr>
              <w:spacing w:after="20" w:before="20"/>
              <w:jc w:val="right"/>
            </w:pPr>
            <w:r>
              <w:rPr>
                <w:rFonts w:ascii="Calibri" w:hAnsi="Calibri"/>
                <w:b w:val="0"/>
                <w:sz w:val="17"/>
              </w:rPr>
            </w:r>
            <w:r>
              <w:rPr>
                <w:rFonts w:ascii="Calibri" w:hAnsi="Calibri"/>
                <w:b w:val="0"/>
                <w:sz w:val="17"/>
              </w:rPr>
              <w:t>9.2%</w:t>
            </w:r>
          </w:p>
        </w:tc>
        <w:tc>
          <w:tcPr>
            <w:tcW w:type="dxa" w:w="1080"/>
          </w:tcPr>
          <w:p>
            <w:pPr>
              <w:spacing w:after="20" w:before="20"/>
              <w:jc w:val="right"/>
            </w:pPr>
            <w:r>
              <w:rPr>
                <w:rFonts w:ascii="Calibri" w:hAnsi="Calibri"/>
                <w:b w:val="0"/>
                <w:sz w:val="17"/>
              </w:rPr>
            </w:r>
            <w:r>
              <w:rPr>
                <w:rFonts w:ascii="Calibri" w:hAnsi="Calibri"/>
                <w:b w:val="0"/>
                <w:sz w:val="17"/>
              </w:rPr>
              <w:t>5.3%</w:t>
            </w:r>
          </w:p>
        </w:tc>
        <w:tc>
          <w:tcPr>
            <w:tcW w:type="dxa" w:w="1296"/>
          </w:tcPr>
          <w:p>
            <w:pPr>
              <w:spacing w:after="20" w:before="20"/>
              <w:jc w:val="right"/>
            </w:pPr>
            <w:r>
              <w:rPr>
                <w:rFonts w:ascii="Calibri" w:hAnsi="Calibri"/>
                <w:b w:val="0"/>
                <w:sz w:val="17"/>
              </w:rPr>
            </w:r>
            <w:r>
              <w:rPr>
                <w:rFonts w:ascii="Calibri" w:hAnsi="Calibri"/>
                <w:b w:val="0"/>
                <w:sz w:val="17"/>
              </w:rPr>
              <w:t>£75k</w:t>
            </w:r>
          </w:p>
        </w:tc>
        <w:tc>
          <w:tcPr>
            <w:tcW w:type="dxa" w:w="1944"/>
          </w:tcPr>
          <w:p>
            <w:pPr>
              <w:spacing w:after="20" w:before="20"/>
              <w:jc w:val="right"/>
            </w:pPr>
            <w:r>
              <w:rPr>
                <w:rFonts w:ascii="Calibri" w:hAnsi="Calibri"/>
                <w:b w:val="0"/>
                <w:sz w:val="17"/>
              </w:rPr>
            </w:r>
            <w:r>
              <w:rPr>
                <w:rFonts w:ascii="Calibri" w:hAnsi="Calibri"/>
                <w:b w:val="0"/>
                <w:sz w:val="17"/>
              </w:rPr>
              <w:t>£990</w:t>
            </w:r>
          </w:p>
        </w:tc>
      </w:tr>
      <w:tr>
        <w:tc>
          <w:tcPr>
            <w:tcW w:type="dxa" w:w="1152"/>
          </w:tcPr>
          <w:p>
            <w:pPr>
              <w:spacing w:after="20" w:before="20"/>
            </w:pPr>
            <w:r>
              <w:rPr>
                <w:rFonts w:ascii="Calibri" w:hAnsi="Calibri"/>
                <w:b w:val="0"/>
                <w:sz w:val="17"/>
              </w:rPr>
            </w:r>
            <w:r>
              <w:rPr>
                <w:rFonts w:ascii="Calibri" w:hAnsi="Calibri"/>
                <w:b w:val="0"/>
                <w:sz w:val="17"/>
              </w:rPr>
              <w:t>2011-01</w:t>
            </w:r>
          </w:p>
        </w:tc>
        <w:tc>
          <w:tcPr>
            <w:tcW w:type="dxa" w:w="1224"/>
          </w:tcPr>
          <w:p>
            <w:pPr>
              <w:spacing w:after="20" w:before="20"/>
              <w:jc w:val="right"/>
            </w:pPr>
            <w:r>
              <w:rPr>
                <w:rFonts w:ascii="Calibri" w:hAnsi="Calibri"/>
                <w:b w:val="0"/>
                <w:sz w:val="17"/>
              </w:rPr>
            </w:r>
            <w:r>
              <w:rPr>
                <w:rFonts w:ascii="Calibri" w:hAnsi="Calibri"/>
                <w:b w:val="0"/>
                <w:sz w:val="17"/>
              </w:rPr>
              <w:t>72</w:t>
            </w:r>
          </w:p>
        </w:tc>
        <w:tc>
          <w:tcPr>
            <w:tcW w:type="dxa" w:w="1080"/>
          </w:tcPr>
          <w:p>
            <w:pPr>
              <w:spacing w:after="20" w:before="20"/>
              <w:jc w:val="right"/>
            </w:pPr>
            <w:r>
              <w:rPr>
                <w:rFonts w:ascii="Calibri" w:hAnsi="Calibri"/>
                <w:b w:val="0"/>
                <w:sz w:val="17"/>
              </w:rPr>
            </w:r>
            <w:r>
              <w:rPr>
                <w:rFonts w:ascii="Calibri" w:hAnsi="Calibri"/>
                <w:b w:val="0"/>
                <w:sz w:val="17"/>
              </w:rPr>
              <w:t>16.7%</w:t>
            </w:r>
          </w:p>
        </w:tc>
        <w:tc>
          <w:tcPr>
            <w:tcW w:type="dxa" w:w="1080"/>
          </w:tcPr>
          <w:p>
            <w:pPr>
              <w:spacing w:after="20" w:before="20"/>
              <w:jc w:val="right"/>
            </w:pPr>
            <w:r>
              <w:rPr>
                <w:rFonts w:ascii="Calibri" w:hAnsi="Calibri"/>
                <w:b w:val="0"/>
                <w:sz w:val="17"/>
              </w:rPr>
            </w:r>
            <w:r>
              <w:rPr>
                <w:rFonts w:ascii="Calibri" w:hAnsi="Calibri"/>
                <w:b w:val="0"/>
                <w:sz w:val="17"/>
              </w:rPr>
              <w:t>19.4%</w:t>
            </w:r>
          </w:p>
        </w:tc>
        <w:tc>
          <w:tcPr>
            <w:tcW w:type="dxa" w:w="1080"/>
          </w:tcPr>
          <w:p>
            <w:pPr>
              <w:spacing w:after="20" w:before="20"/>
              <w:jc w:val="right"/>
            </w:pPr>
            <w:r>
              <w:rPr>
                <w:rFonts w:ascii="Calibri" w:hAnsi="Calibri"/>
                <w:b w:val="0"/>
                <w:sz w:val="17"/>
              </w:rPr>
            </w:r>
            <w:r>
              <w:rPr>
                <w:rFonts w:ascii="Calibri" w:hAnsi="Calibri"/>
                <w:b w:val="0"/>
                <w:sz w:val="17"/>
              </w:rPr>
              <w:t>15.3%</w:t>
            </w:r>
          </w:p>
        </w:tc>
        <w:tc>
          <w:tcPr>
            <w:tcW w:type="dxa" w:w="1296"/>
          </w:tcPr>
          <w:p>
            <w:pPr>
              <w:spacing w:after="20" w:before="20"/>
              <w:jc w:val="right"/>
            </w:pPr>
            <w:r>
              <w:rPr>
                <w:rFonts w:ascii="Calibri" w:hAnsi="Calibri"/>
                <w:b w:val="0"/>
                <w:sz w:val="17"/>
              </w:rPr>
            </w:r>
            <w:r>
              <w:rPr>
                <w:rFonts w:ascii="Calibri" w:hAnsi="Calibri"/>
                <w:b w:val="0"/>
                <w:sz w:val="17"/>
              </w:rPr>
              <w:t>£141k</w:t>
            </w:r>
          </w:p>
        </w:tc>
        <w:tc>
          <w:tcPr>
            <w:tcW w:type="dxa" w:w="1944"/>
          </w:tcPr>
          <w:p>
            <w:pPr>
              <w:spacing w:after="20" w:before="20"/>
              <w:jc w:val="right"/>
            </w:pPr>
            <w:r>
              <w:rPr>
                <w:rFonts w:ascii="Calibri" w:hAnsi="Calibri"/>
                <w:b w:val="0"/>
                <w:sz w:val="17"/>
              </w:rPr>
            </w:r>
            <w:r>
              <w:rPr>
                <w:rFonts w:ascii="Calibri" w:hAnsi="Calibri"/>
                <w:b w:val="0"/>
                <w:sz w:val="17"/>
              </w:rPr>
              <w:t>£1,960</w:t>
            </w:r>
          </w:p>
        </w:tc>
      </w:tr>
      <w:tr>
        <w:tc>
          <w:tcPr>
            <w:tcW w:type="dxa" w:w="1152"/>
          </w:tcPr>
          <w:p>
            <w:pPr>
              <w:spacing w:after="20" w:before="20"/>
            </w:pPr>
            <w:r>
              <w:rPr>
                <w:rFonts w:ascii="Calibri" w:hAnsi="Calibri"/>
                <w:b w:val="0"/>
                <w:sz w:val="17"/>
              </w:rPr>
            </w:r>
            <w:r>
              <w:rPr>
                <w:rFonts w:ascii="Calibri" w:hAnsi="Calibri"/>
                <w:b w:val="0"/>
                <w:sz w:val="17"/>
              </w:rPr>
              <w:t>2011-02</w:t>
            </w:r>
          </w:p>
        </w:tc>
        <w:tc>
          <w:tcPr>
            <w:tcW w:type="dxa" w:w="1224"/>
          </w:tcPr>
          <w:p>
            <w:pPr>
              <w:spacing w:after="20" w:before="20"/>
              <w:jc w:val="right"/>
            </w:pPr>
            <w:r>
              <w:rPr>
                <w:rFonts w:ascii="Calibri" w:hAnsi="Calibri"/>
                <w:b w:val="0"/>
                <w:sz w:val="17"/>
              </w:rPr>
            </w:r>
            <w:r>
              <w:rPr>
                <w:rFonts w:ascii="Calibri" w:hAnsi="Calibri"/>
                <w:b w:val="0"/>
                <w:sz w:val="17"/>
              </w:rPr>
              <w:t>124</w:t>
            </w:r>
          </w:p>
        </w:tc>
        <w:tc>
          <w:tcPr>
            <w:tcW w:type="dxa" w:w="1080"/>
          </w:tcPr>
          <w:p>
            <w:pPr>
              <w:spacing w:after="20" w:before="20"/>
              <w:jc w:val="right"/>
            </w:pPr>
            <w:r>
              <w:rPr>
                <w:rFonts w:ascii="Calibri" w:hAnsi="Calibri"/>
                <w:b w:val="0"/>
                <w:sz w:val="17"/>
              </w:rPr>
            </w:r>
            <w:r>
              <w:rPr>
                <w:rFonts w:ascii="Calibri" w:hAnsi="Calibri"/>
                <w:b w:val="0"/>
                <w:sz w:val="17"/>
              </w:rPr>
              <w:t>16.1%</w:t>
            </w:r>
          </w:p>
        </w:tc>
        <w:tc>
          <w:tcPr>
            <w:tcW w:type="dxa" w:w="1080"/>
          </w:tcPr>
          <w:p>
            <w:pPr>
              <w:spacing w:after="20" w:before="20"/>
              <w:jc w:val="right"/>
            </w:pPr>
            <w:r>
              <w:rPr>
                <w:rFonts w:ascii="Calibri" w:hAnsi="Calibri"/>
                <w:b w:val="0"/>
                <w:sz w:val="17"/>
              </w:rPr>
            </w:r>
            <w:r>
              <w:rPr>
                <w:rFonts w:ascii="Calibri" w:hAnsi="Calibri"/>
                <w:b w:val="0"/>
                <w:sz w:val="17"/>
              </w:rPr>
              <w:t>18.5%</w:t>
            </w:r>
          </w:p>
        </w:tc>
        <w:tc>
          <w:tcPr>
            <w:tcW w:type="dxa" w:w="1080"/>
          </w:tcPr>
          <w:p>
            <w:pPr>
              <w:spacing w:after="20" w:before="20"/>
              <w:jc w:val="right"/>
            </w:pPr>
            <w:r>
              <w:rPr>
                <w:rFonts w:ascii="Calibri" w:hAnsi="Calibri"/>
                <w:b w:val="0"/>
                <w:sz w:val="17"/>
              </w:rPr>
            </w:r>
            <w:r>
              <w:rPr>
                <w:rFonts w:ascii="Calibri" w:hAnsi="Calibri"/>
                <w:b w:val="0"/>
                <w:sz w:val="17"/>
              </w:rPr>
              <w:t>15.3%</w:t>
            </w:r>
          </w:p>
        </w:tc>
        <w:tc>
          <w:tcPr>
            <w:tcW w:type="dxa" w:w="1296"/>
          </w:tcPr>
          <w:p>
            <w:pPr>
              <w:spacing w:after="20" w:before="20"/>
              <w:jc w:val="right"/>
            </w:pPr>
            <w:r>
              <w:rPr>
                <w:rFonts w:ascii="Calibri" w:hAnsi="Calibri"/>
                <w:b w:val="0"/>
                <w:sz w:val="17"/>
              </w:rPr>
            </w:r>
            <w:r>
              <w:rPr>
                <w:rFonts w:ascii="Calibri" w:hAnsi="Calibri"/>
                <w:b w:val="0"/>
                <w:sz w:val="17"/>
              </w:rPr>
              <w:t>£136k</w:t>
            </w:r>
          </w:p>
        </w:tc>
        <w:tc>
          <w:tcPr>
            <w:tcW w:type="dxa" w:w="1944"/>
          </w:tcPr>
          <w:p>
            <w:pPr>
              <w:spacing w:after="20" w:before="20"/>
              <w:jc w:val="right"/>
            </w:pPr>
            <w:r>
              <w:rPr>
                <w:rFonts w:ascii="Calibri" w:hAnsi="Calibri"/>
                <w:b w:val="0"/>
                <w:sz w:val="17"/>
              </w:rPr>
            </w:r>
            <w:r>
              <w:rPr>
                <w:rFonts w:ascii="Calibri" w:hAnsi="Calibri"/>
                <w:b w:val="0"/>
                <w:sz w:val="17"/>
              </w:rPr>
              <w:t>£1,099</w:t>
            </w:r>
          </w:p>
        </w:tc>
      </w:tr>
      <w:tr>
        <w:tc>
          <w:tcPr>
            <w:tcW w:type="dxa" w:w="1152"/>
          </w:tcPr>
          <w:p>
            <w:pPr>
              <w:spacing w:after="20" w:before="20"/>
            </w:pPr>
            <w:r>
              <w:rPr>
                <w:rFonts w:ascii="Calibri" w:hAnsi="Calibri"/>
                <w:b w:val="0"/>
                <w:sz w:val="17"/>
              </w:rPr>
            </w:r>
            <w:r>
              <w:rPr>
                <w:rFonts w:ascii="Calibri" w:hAnsi="Calibri"/>
                <w:b w:val="0"/>
                <w:sz w:val="17"/>
              </w:rPr>
              <w:t>2011-03</w:t>
            </w:r>
          </w:p>
        </w:tc>
        <w:tc>
          <w:tcPr>
            <w:tcW w:type="dxa" w:w="1224"/>
          </w:tcPr>
          <w:p>
            <w:pPr>
              <w:spacing w:after="20" w:before="20"/>
              <w:jc w:val="right"/>
            </w:pPr>
            <w:r>
              <w:rPr>
                <w:rFonts w:ascii="Calibri" w:hAnsi="Calibri"/>
                <w:b w:val="0"/>
                <w:sz w:val="17"/>
              </w:rPr>
            </w:r>
            <w:r>
              <w:rPr>
                <w:rFonts w:ascii="Calibri" w:hAnsi="Calibri"/>
                <w:b w:val="0"/>
                <w:sz w:val="17"/>
              </w:rPr>
              <w:t>179</w:t>
            </w:r>
          </w:p>
        </w:tc>
        <w:tc>
          <w:tcPr>
            <w:tcW w:type="dxa" w:w="1080"/>
          </w:tcPr>
          <w:p>
            <w:pPr>
              <w:spacing w:after="20" w:before="20"/>
              <w:jc w:val="right"/>
            </w:pPr>
            <w:r>
              <w:rPr>
                <w:rFonts w:ascii="Calibri" w:hAnsi="Calibri"/>
                <w:b w:val="0"/>
                <w:sz w:val="17"/>
              </w:rPr>
            </w:r>
            <w:r>
              <w:rPr>
                <w:rFonts w:ascii="Calibri" w:hAnsi="Calibri"/>
                <w:b w:val="0"/>
                <w:sz w:val="17"/>
              </w:rPr>
              <w:t>17.9%</w:t>
            </w:r>
          </w:p>
        </w:tc>
        <w:tc>
          <w:tcPr>
            <w:tcW w:type="dxa" w:w="1080"/>
          </w:tcPr>
          <w:p>
            <w:pPr>
              <w:spacing w:after="20" w:before="20"/>
              <w:jc w:val="right"/>
            </w:pPr>
            <w:r>
              <w:rPr>
                <w:rFonts w:ascii="Calibri" w:hAnsi="Calibri"/>
                <w:b w:val="0"/>
                <w:sz w:val="17"/>
              </w:rPr>
            </w:r>
            <w:r>
              <w:rPr>
                <w:rFonts w:ascii="Calibri" w:hAnsi="Calibri"/>
                <w:b w:val="0"/>
                <w:sz w:val="17"/>
              </w:rPr>
              <w:t>20.1%</w:t>
            </w:r>
          </w:p>
        </w:tc>
        <w:tc>
          <w:tcPr>
            <w:tcW w:type="dxa" w:w="1080"/>
          </w:tcPr>
          <w:p>
            <w:pPr>
              <w:spacing w:after="20" w:before="20"/>
              <w:jc w:val="right"/>
            </w:pPr>
            <w:r>
              <w:rPr>
                <w:rFonts w:ascii="Calibri" w:hAnsi="Calibri"/>
                <w:b w:val="0"/>
                <w:sz w:val="17"/>
              </w:rPr>
            </w:r>
            <w:r>
              <w:rPr>
                <w:rFonts w:ascii="Calibri" w:hAnsi="Calibri"/>
                <w:b w:val="0"/>
                <w:sz w:val="17"/>
              </w:rPr>
              <w:t>20.7%</w:t>
            </w:r>
          </w:p>
        </w:tc>
        <w:tc>
          <w:tcPr>
            <w:tcW w:type="dxa" w:w="1296"/>
          </w:tcPr>
          <w:p>
            <w:pPr>
              <w:spacing w:after="20" w:before="20"/>
              <w:jc w:val="right"/>
            </w:pPr>
            <w:r>
              <w:rPr>
                <w:rFonts w:ascii="Calibri" w:hAnsi="Calibri"/>
                <w:b w:val="0"/>
                <w:sz w:val="17"/>
              </w:rPr>
            </w:r>
            <w:r>
              <w:rPr>
                <w:rFonts w:ascii="Calibri" w:hAnsi="Calibri"/>
                <w:b w:val="0"/>
                <w:sz w:val="17"/>
              </w:rPr>
              <w:t>£219k</w:t>
            </w:r>
          </w:p>
        </w:tc>
        <w:tc>
          <w:tcPr>
            <w:tcW w:type="dxa" w:w="1944"/>
          </w:tcPr>
          <w:p>
            <w:pPr>
              <w:spacing w:after="20" w:before="20"/>
              <w:jc w:val="right"/>
            </w:pPr>
            <w:r>
              <w:rPr>
                <w:rFonts w:ascii="Calibri" w:hAnsi="Calibri"/>
                <w:b w:val="0"/>
                <w:sz w:val="17"/>
              </w:rPr>
            </w:r>
            <w:r>
              <w:rPr>
                <w:rFonts w:ascii="Calibri" w:hAnsi="Calibri"/>
                <w:b w:val="0"/>
                <w:sz w:val="17"/>
              </w:rPr>
              <w:t>£1,223</w:t>
            </w:r>
          </w:p>
        </w:tc>
      </w:tr>
      <w:tr>
        <w:tc>
          <w:tcPr>
            <w:tcW w:type="dxa" w:w="1152"/>
          </w:tcPr>
          <w:p>
            <w:pPr>
              <w:spacing w:after="20" w:before="20"/>
            </w:pPr>
            <w:r>
              <w:rPr>
                <w:rFonts w:ascii="Calibri" w:hAnsi="Calibri"/>
                <w:b w:val="0"/>
                <w:sz w:val="17"/>
              </w:rPr>
            </w:r>
            <w:r>
              <w:rPr>
                <w:rFonts w:ascii="Calibri" w:hAnsi="Calibri"/>
                <w:b w:val="0"/>
                <w:sz w:val="17"/>
              </w:rPr>
              <w:t>2011-04</w:t>
            </w:r>
          </w:p>
        </w:tc>
        <w:tc>
          <w:tcPr>
            <w:tcW w:type="dxa" w:w="1224"/>
          </w:tcPr>
          <w:p>
            <w:pPr>
              <w:spacing w:after="20" w:before="20"/>
              <w:jc w:val="right"/>
            </w:pPr>
            <w:r>
              <w:rPr>
                <w:rFonts w:ascii="Calibri" w:hAnsi="Calibri"/>
                <w:b w:val="0"/>
                <w:sz w:val="17"/>
              </w:rPr>
            </w:r>
            <w:r>
              <w:rPr>
                <w:rFonts w:ascii="Calibri" w:hAnsi="Calibri"/>
                <w:b w:val="0"/>
                <w:sz w:val="17"/>
              </w:rPr>
              <w:t>106</w:t>
            </w:r>
          </w:p>
        </w:tc>
        <w:tc>
          <w:tcPr>
            <w:tcW w:type="dxa" w:w="1080"/>
          </w:tcPr>
          <w:p>
            <w:pPr>
              <w:spacing w:after="20" w:before="20"/>
              <w:jc w:val="right"/>
            </w:pPr>
            <w:r>
              <w:rPr>
                <w:rFonts w:ascii="Calibri" w:hAnsi="Calibri"/>
                <w:b w:val="0"/>
                <w:sz w:val="17"/>
              </w:rPr>
            </w:r>
            <w:r>
              <w:rPr>
                <w:rFonts w:ascii="Calibri" w:hAnsi="Calibri"/>
                <w:b w:val="0"/>
                <w:sz w:val="17"/>
              </w:rPr>
              <w:t>24.5%</w:t>
            </w:r>
          </w:p>
        </w:tc>
        <w:tc>
          <w:tcPr>
            <w:tcW w:type="dxa" w:w="1080"/>
          </w:tcPr>
          <w:p>
            <w:pPr>
              <w:spacing w:after="20" w:before="20"/>
              <w:jc w:val="right"/>
            </w:pPr>
            <w:r>
              <w:rPr>
                <w:rFonts w:ascii="Calibri" w:hAnsi="Calibri"/>
                <w:b w:val="0"/>
                <w:sz w:val="17"/>
              </w:rPr>
            </w:r>
            <w:r>
              <w:rPr>
                <w:rFonts w:ascii="Calibri" w:hAnsi="Calibri"/>
                <w:b w:val="0"/>
                <w:sz w:val="17"/>
              </w:rPr>
              <w:t>19.8%</w:t>
            </w:r>
          </w:p>
        </w:tc>
        <w:tc>
          <w:tcPr>
            <w:tcW w:type="dxa" w:w="1080"/>
          </w:tcPr>
          <w:p>
            <w:pPr>
              <w:spacing w:after="20" w:before="20"/>
              <w:jc w:val="right"/>
            </w:pPr>
            <w:r>
              <w:rPr>
                <w:rFonts w:ascii="Calibri" w:hAnsi="Calibri"/>
                <w:b w:val="0"/>
                <w:sz w:val="17"/>
              </w:rPr>
            </w:r>
            <w:r>
              <w:rPr>
                <w:rFonts w:ascii="Calibri" w:hAnsi="Calibri"/>
                <w:b w:val="0"/>
                <w:sz w:val="17"/>
              </w:rPr>
              <w:t>17.9%</w:t>
            </w:r>
          </w:p>
        </w:tc>
        <w:tc>
          <w:tcPr>
            <w:tcW w:type="dxa" w:w="1296"/>
          </w:tcPr>
          <w:p>
            <w:pPr>
              <w:spacing w:after="20" w:before="20"/>
              <w:jc w:val="right"/>
            </w:pPr>
            <w:r>
              <w:rPr>
                <w:rFonts w:ascii="Calibri" w:hAnsi="Calibri"/>
                <w:b w:val="0"/>
                <w:sz w:val="17"/>
              </w:rPr>
            </w:r>
            <w:r>
              <w:rPr>
                <w:rFonts w:ascii="Calibri" w:hAnsi="Calibri"/>
                <w:b w:val="0"/>
                <w:sz w:val="17"/>
              </w:rPr>
              <w:t>£107k</w:t>
            </w:r>
          </w:p>
        </w:tc>
        <w:tc>
          <w:tcPr>
            <w:tcW w:type="dxa" w:w="1944"/>
          </w:tcPr>
          <w:p>
            <w:pPr>
              <w:spacing w:after="20" w:before="20"/>
              <w:jc w:val="right"/>
            </w:pPr>
            <w:r>
              <w:rPr>
                <w:rFonts w:ascii="Calibri" w:hAnsi="Calibri"/>
                <w:b w:val="0"/>
                <w:sz w:val="17"/>
              </w:rPr>
            </w:r>
            <w:r>
              <w:rPr>
                <w:rFonts w:ascii="Calibri" w:hAnsi="Calibri"/>
                <w:b w:val="0"/>
                <w:sz w:val="17"/>
              </w:rPr>
              <w:t>£1,008</w:t>
            </w:r>
          </w:p>
        </w:tc>
      </w:tr>
      <w:tr>
        <w:tc>
          <w:tcPr>
            <w:tcW w:type="dxa" w:w="1152"/>
          </w:tcPr>
          <w:p>
            <w:pPr>
              <w:spacing w:after="20" w:before="20"/>
            </w:pPr>
            <w:r>
              <w:rPr>
                <w:rFonts w:ascii="Calibri" w:hAnsi="Calibri"/>
                <w:b w:val="0"/>
                <w:sz w:val="17"/>
              </w:rPr>
            </w:r>
            <w:r>
              <w:rPr>
                <w:rFonts w:ascii="Calibri" w:hAnsi="Calibri"/>
                <w:b w:val="0"/>
                <w:sz w:val="17"/>
              </w:rPr>
              <w:t>2011-05</w:t>
            </w:r>
          </w:p>
        </w:tc>
        <w:tc>
          <w:tcPr>
            <w:tcW w:type="dxa" w:w="1224"/>
          </w:tcPr>
          <w:p>
            <w:pPr>
              <w:spacing w:after="20" w:before="20"/>
              <w:jc w:val="right"/>
            </w:pPr>
            <w:r>
              <w:rPr>
                <w:rFonts w:ascii="Calibri" w:hAnsi="Calibri"/>
                <w:b w:val="0"/>
                <w:sz w:val="17"/>
              </w:rPr>
            </w:r>
            <w:r>
              <w:rPr>
                <w:rFonts w:ascii="Calibri" w:hAnsi="Calibri"/>
                <w:b w:val="0"/>
                <w:sz w:val="17"/>
              </w:rPr>
              <w:t>111</w:t>
            </w:r>
          </w:p>
        </w:tc>
        <w:tc>
          <w:tcPr>
            <w:tcW w:type="dxa" w:w="1080"/>
          </w:tcPr>
          <w:p>
            <w:pPr>
              <w:spacing w:after="20" w:before="20"/>
              <w:jc w:val="right"/>
            </w:pPr>
            <w:r>
              <w:rPr>
                <w:rFonts w:ascii="Calibri" w:hAnsi="Calibri"/>
                <w:b w:val="0"/>
                <w:sz w:val="17"/>
              </w:rPr>
            </w:r>
            <w:r>
              <w:rPr>
                <w:rFonts w:ascii="Calibri" w:hAnsi="Calibri"/>
                <w:b w:val="0"/>
                <w:sz w:val="17"/>
              </w:rPr>
              <w:t>23.4%</w:t>
            </w:r>
          </w:p>
        </w:tc>
        <w:tc>
          <w:tcPr>
            <w:tcW w:type="dxa" w:w="1080"/>
          </w:tcPr>
          <w:p>
            <w:pPr>
              <w:spacing w:after="20" w:before="20"/>
              <w:jc w:val="right"/>
            </w:pPr>
            <w:r>
              <w:rPr>
                <w:rFonts w:ascii="Calibri" w:hAnsi="Calibri"/>
                <w:b w:val="0"/>
                <w:sz w:val="17"/>
              </w:rPr>
            </w:r>
            <w:r>
              <w:rPr>
                <w:rFonts w:ascii="Calibri" w:hAnsi="Calibri"/>
                <w:b w:val="0"/>
                <w:sz w:val="17"/>
              </w:rPr>
              <w:t>16.2%</w:t>
            </w:r>
          </w:p>
        </w:tc>
        <w:tc>
          <w:tcPr>
            <w:tcW w:type="dxa" w:w="1080"/>
          </w:tcPr>
          <w:p>
            <w:pPr>
              <w:spacing w:after="20" w:before="20"/>
              <w:jc w:val="right"/>
            </w:pPr>
            <w:r>
              <w:rPr>
                <w:rFonts w:ascii="Calibri" w:hAnsi="Calibri"/>
                <w:b w:val="0"/>
                <w:sz w:val="17"/>
              </w:rPr>
            </w:r>
            <w:r>
              <w:rPr>
                <w:rFonts w:ascii="Calibri" w:hAnsi="Calibri"/>
                <w:b w:val="0"/>
                <w:sz w:val="17"/>
              </w:rPr>
              <w:t>26.1%</w:t>
            </w:r>
          </w:p>
        </w:tc>
        <w:tc>
          <w:tcPr>
            <w:tcW w:type="dxa" w:w="1296"/>
          </w:tcPr>
          <w:p>
            <w:pPr>
              <w:spacing w:after="20" w:before="20"/>
              <w:jc w:val="right"/>
            </w:pPr>
            <w:r>
              <w:rPr>
                <w:rFonts w:ascii="Calibri" w:hAnsi="Calibri"/>
                <w:b w:val="0"/>
                <w:sz w:val="17"/>
              </w:rPr>
            </w:r>
            <w:r>
              <w:rPr>
                <w:rFonts w:ascii="Calibri" w:hAnsi="Calibri"/>
                <w:b w:val="0"/>
                <w:sz w:val="17"/>
              </w:rPr>
              <w:t>£283k</w:t>
            </w:r>
          </w:p>
        </w:tc>
        <w:tc>
          <w:tcPr>
            <w:tcW w:type="dxa" w:w="1944"/>
          </w:tcPr>
          <w:p>
            <w:pPr>
              <w:spacing w:after="20" w:before="20"/>
              <w:jc w:val="right"/>
            </w:pPr>
            <w:r>
              <w:rPr>
                <w:rFonts w:ascii="Calibri" w:hAnsi="Calibri"/>
                <w:b w:val="0"/>
                <w:sz w:val="17"/>
              </w:rPr>
            </w:r>
            <w:r>
              <w:rPr>
                <w:rFonts w:ascii="Calibri" w:hAnsi="Calibri"/>
                <w:b w:val="0"/>
                <w:sz w:val="17"/>
              </w:rPr>
              <w:t>£2,546</w:t>
            </w:r>
          </w:p>
        </w:tc>
      </w:tr>
      <w:tr>
        <w:tc>
          <w:tcPr>
            <w:tcW w:type="dxa" w:w="1152"/>
          </w:tcPr>
          <w:p>
            <w:pPr>
              <w:spacing w:after="20" w:before="20"/>
            </w:pPr>
            <w:r>
              <w:rPr>
                <w:rFonts w:ascii="Calibri" w:hAnsi="Calibri"/>
                <w:b w:val="0"/>
                <w:sz w:val="17"/>
              </w:rPr>
            </w:r>
            <w:r>
              <w:rPr>
                <w:rFonts w:ascii="Calibri" w:hAnsi="Calibri"/>
                <w:b w:val="0"/>
                <w:sz w:val="17"/>
              </w:rPr>
              <w:t>2011-06</w:t>
            </w:r>
          </w:p>
        </w:tc>
        <w:tc>
          <w:tcPr>
            <w:tcW w:type="dxa" w:w="1224"/>
          </w:tcPr>
          <w:p>
            <w:pPr>
              <w:spacing w:after="20" w:before="20"/>
              <w:jc w:val="right"/>
            </w:pPr>
            <w:r>
              <w:rPr>
                <w:rFonts w:ascii="Calibri" w:hAnsi="Calibri"/>
                <w:b w:val="0"/>
                <w:sz w:val="17"/>
              </w:rPr>
            </w:r>
            <w:r>
              <w:rPr>
                <w:rFonts w:ascii="Calibri" w:hAnsi="Calibri"/>
                <w:b w:val="0"/>
                <w:sz w:val="17"/>
              </w:rPr>
              <w:t>108</w:t>
            </w:r>
          </w:p>
        </w:tc>
        <w:tc>
          <w:tcPr>
            <w:tcW w:type="dxa" w:w="1080"/>
          </w:tcPr>
          <w:p>
            <w:pPr>
              <w:spacing w:after="20" w:before="20"/>
              <w:jc w:val="right"/>
            </w:pPr>
            <w:r>
              <w:rPr>
                <w:rFonts w:ascii="Calibri" w:hAnsi="Calibri"/>
                <w:b w:val="0"/>
                <w:sz w:val="17"/>
              </w:rPr>
            </w:r>
            <w:r>
              <w:rPr>
                <w:rFonts w:ascii="Calibri" w:hAnsi="Calibri"/>
                <w:b w:val="0"/>
                <w:sz w:val="17"/>
              </w:rPr>
              <w:t>23.1%</w:t>
            </w:r>
          </w:p>
        </w:tc>
        <w:tc>
          <w:tcPr>
            <w:tcW w:type="dxa" w:w="1080"/>
          </w:tcPr>
          <w:p>
            <w:pPr>
              <w:spacing w:after="20" w:before="20"/>
              <w:jc w:val="right"/>
            </w:pPr>
            <w:r>
              <w:rPr>
                <w:rFonts w:ascii="Calibri" w:hAnsi="Calibri"/>
                <w:b w:val="0"/>
                <w:sz w:val="17"/>
              </w:rPr>
            </w:r>
            <w:r>
              <w:rPr>
                <w:rFonts w:ascii="Calibri" w:hAnsi="Calibri"/>
                <w:b w:val="0"/>
                <w:sz w:val="17"/>
              </w:rPr>
              <w:t>26.9%</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296"/>
          </w:tcPr>
          <w:p>
            <w:pPr>
              <w:spacing w:after="20" w:before="20"/>
              <w:jc w:val="right"/>
            </w:pPr>
            <w:r>
              <w:rPr>
                <w:rFonts w:ascii="Calibri" w:hAnsi="Calibri"/>
                <w:b w:val="0"/>
                <w:sz w:val="17"/>
              </w:rPr>
            </w:r>
            <w:r>
              <w:rPr>
                <w:rFonts w:ascii="Calibri" w:hAnsi="Calibri"/>
                <w:b w:val="0"/>
                <w:sz w:val="17"/>
              </w:rPr>
              <w:t>£139k</w:t>
            </w:r>
          </w:p>
        </w:tc>
        <w:tc>
          <w:tcPr>
            <w:tcW w:type="dxa" w:w="1944"/>
          </w:tcPr>
          <w:p>
            <w:pPr>
              <w:spacing w:after="20" w:before="20"/>
              <w:jc w:val="right"/>
            </w:pPr>
            <w:r>
              <w:rPr>
                <w:rFonts w:ascii="Calibri" w:hAnsi="Calibri"/>
                <w:b w:val="0"/>
                <w:sz w:val="17"/>
              </w:rPr>
            </w:r>
            <w:r>
              <w:rPr>
                <w:rFonts w:ascii="Calibri" w:hAnsi="Calibri"/>
                <w:b w:val="0"/>
                <w:sz w:val="17"/>
              </w:rPr>
              <w:t>£1,288</w:t>
            </w:r>
          </w:p>
        </w:tc>
      </w:tr>
      <w:tr>
        <w:tc>
          <w:tcPr>
            <w:tcW w:type="dxa" w:w="1152"/>
          </w:tcPr>
          <w:p>
            <w:pPr>
              <w:spacing w:after="20" w:before="20"/>
            </w:pPr>
            <w:r>
              <w:rPr>
                <w:rFonts w:ascii="Calibri" w:hAnsi="Calibri"/>
                <w:b w:val="0"/>
                <w:sz w:val="17"/>
              </w:rPr>
            </w:r>
            <w:r>
              <w:rPr>
                <w:rFonts w:ascii="Calibri" w:hAnsi="Calibri"/>
                <w:b w:val="0"/>
                <w:sz w:val="17"/>
              </w:rPr>
              <w:t>2011-07</w:t>
            </w:r>
          </w:p>
        </w:tc>
        <w:tc>
          <w:tcPr>
            <w:tcW w:type="dxa" w:w="1224"/>
          </w:tcPr>
          <w:p>
            <w:pPr>
              <w:spacing w:after="20" w:before="20"/>
              <w:jc w:val="right"/>
            </w:pPr>
            <w:r>
              <w:rPr>
                <w:rFonts w:ascii="Calibri" w:hAnsi="Calibri"/>
                <w:b w:val="0"/>
                <w:sz w:val="17"/>
              </w:rPr>
            </w:r>
            <w:r>
              <w:rPr>
                <w:rFonts w:ascii="Calibri" w:hAnsi="Calibri"/>
                <w:b w:val="0"/>
                <w:sz w:val="17"/>
              </w:rPr>
              <w:t>101</w:t>
            </w:r>
          </w:p>
        </w:tc>
        <w:tc>
          <w:tcPr>
            <w:tcW w:type="dxa" w:w="1080"/>
          </w:tcPr>
          <w:p>
            <w:pPr>
              <w:spacing w:after="20" w:before="20"/>
              <w:jc w:val="right"/>
            </w:pPr>
            <w:r>
              <w:rPr>
                <w:rFonts w:ascii="Calibri" w:hAnsi="Calibri"/>
                <w:b w:val="0"/>
                <w:sz w:val="17"/>
              </w:rPr>
            </w:r>
            <w:r>
              <w:rPr>
                <w:rFonts w:ascii="Calibri" w:hAnsi="Calibri"/>
                <w:b w:val="0"/>
                <w:sz w:val="17"/>
              </w:rPr>
              <w:t>21.8%</w:t>
            </w:r>
          </w:p>
        </w:tc>
        <w:tc>
          <w:tcPr>
            <w:tcW w:type="dxa" w:w="1080"/>
          </w:tcPr>
          <w:p>
            <w:pPr>
              <w:spacing w:after="20" w:before="20"/>
              <w:jc w:val="right"/>
            </w:pPr>
            <w:r>
              <w:rPr>
                <w:rFonts w:ascii="Calibri" w:hAnsi="Calibri"/>
                <w:b w:val="0"/>
                <w:sz w:val="17"/>
              </w:rPr>
            </w:r>
            <w:r>
              <w:rPr>
                <w:rFonts w:ascii="Calibri" w:hAnsi="Calibri"/>
                <w:b w:val="0"/>
                <w:sz w:val="17"/>
              </w:rPr>
              <w:t>27.7%</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296"/>
          </w:tcPr>
          <w:p>
            <w:pPr>
              <w:spacing w:after="20" w:before="20"/>
              <w:jc w:val="right"/>
            </w:pPr>
            <w:r>
              <w:rPr>
                <w:rFonts w:ascii="Calibri" w:hAnsi="Calibri"/>
                <w:b w:val="0"/>
                <w:sz w:val="17"/>
              </w:rPr>
            </w:r>
            <w:r>
              <w:rPr>
                <w:rFonts w:ascii="Calibri" w:hAnsi="Calibri"/>
                <w:b w:val="0"/>
                <w:sz w:val="17"/>
              </w:rPr>
              <w:t>£94k</w:t>
            </w:r>
          </w:p>
        </w:tc>
        <w:tc>
          <w:tcPr>
            <w:tcW w:type="dxa" w:w="1944"/>
          </w:tcPr>
          <w:p>
            <w:pPr>
              <w:spacing w:after="20" w:before="20"/>
              <w:jc w:val="right"/>
            </w:pPr>
            <w:r>
              <w:rPr>
                <w:rFonts w:ascii="Calibri" w:hAnsi="Calibri"/>
                <w:b w:val="0"/>
                <w:sz w:val="17"/>
              </w:rPr>
            </w:r>
            <w:r>
              <w:rPr>
                <w:rFonts w:ascii="Calibri" w:hAnsi="Calibri"/>
                <w:b w:val="0"/>
                <w:sz w:val="17"/>
              </w:rPr>
              <w:t>£930</w:t>
            </w:r>
          </w:p>
        </w:tc>
      </w:tr>
      <w:tr>
        <w:tc>
          <w:tcPr>
            <w:tcW w:type="dxa" w:w="1152"/>
          </w:tcPr>
          <w:p>
            <w:pPr>
              <w:spacing w:after="20" w:before="20"/>
            </w:pPr>
            <w:r>
              <w:rPr>
                <w:rFonts w:ascii="Calibri" w:hAnsi="Calibri"/>
                <w:b w:val="0"/>
                <w:sz w:val="17"/>
              </w:rPr>
            </w:r>
            <w:r>
              <w:rPr>
                <w:rFonts w:ascii="Calibri" w:hAnsi="Calibri"/>
                <w:b w:val="0"/>
                <w:sz w:val="17"/>
              </w:rPr>
              <w:t>2011-08</w:t>
            </w:r>
          </w:p>
        </w:tc>
        <w:tc>
          <w:tcPr>
            <w:tcW w:type="dxa" w:w="1224"/>
          </w:tcPr>
          <w:p>
            <w:pPr>
              <w:spacing w:after="20" w:before="20"/>
              <w:jc w:val="right"/>
            </w:pPr>
            <w:r>
              <w:rPr>
                <w:rFonts w:ascii="Calibri" w:hAnsi="Calibri"/>
                <w:b w:val="0"/>
                <w:sz w:val="17"/>
              </w:rPr>
            </w:r>
            <w:r>
              <w:rPr>
                <w:rFonts w:ascii="Calibri" w:hAnsi="Calibri"/>
                <w:b w:val="0"/>
                <w:sz w:val="17"/>
              </w:rPr>
              <w:t>107</w:t>
            </w:r>
          </w:p>
        </w:tc>
        <w:tc>
          <w:tcPr>
            <w:tcW w:type="dxa" w:w="1080"/>
          </w:tcPr>
          <w:p>
            <w:pPr>
              <w:spacing w:after="20" w:before="20"/>
              <w:jc w:val="right"/>
            </w:pPr>
            <w:r>
              <w:rPr>
                <w:rFonts w:ascii="Calibri" w:hAnsi="Calibri"/>
                <w:b w:val="0"/>
                <w:sz w:val="17"/>
              </w:rPr>
            </w:r>
            <w:r>
              <w:rPr>
                <w:rFonts w:ascii="Calibri" w:hAnsi="Calibri"/>
                <w:b w:val="0"/>
                <w:sz w:val="17"/>
              </w:rPr>
              <w:t>27.1%</w:t>
            </w:r>
          </w:p>
        </w:tc>
        <w:tc>
          <w:tcPr>
            <w:tcW w:type="dxa" w:w="1080"/>
          </w:tcPr>
          <w:p>
            <w:pPr>
              <w:spacing w:after="20" w:before="20"/>
              <w:jc w:val="right"/>
            </w:pPr>
            <w:r>
              <w:rPr>
                <w:rFonts w:ascii="Calibri" w:hAnsi="Calibri"/>
                <w:b w:val="0"/>
                <w:sz w:val="17"/>
              </w:rPr>
            </w:r>
            <w:r>
              <w:rPr>
                <w:rFonts w:ascii="Calibri" w:hAnsi="Calibri"/>
                <w:b w:val="0"/>
                <w:sz w:val="17"/>
              </w:rPr>
              <w:t>26.2%</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296"/>
          </w:tcPr>
          <w:p>
            <w:pPr>
              <w:spacing w:after="20" w:before="20"/>
              <w:jc w:val="right"/>
            </w:pPr>
            <w:r>
              <w:rPr>
                <w:rFonts w:ascii="Calibri" w:hAnsi="Calibri"/>
                <w:b w:val="0"/>
                <w:sz w:val="17"/>
              </w:rPr>
            </w:r>
            <w:r>
              <w:rPr>
                <w:rFonts w:ascii="Calibri" w:hAnsi="Calibri"/>
                <w:b w:val="0"/>
                <w:sz w:val="17"/>
              </w:rPr>
              <w:t>£149k</w:t>
            </w:r>
          </w:p>
        </w:tc>
        <w:tc>
          <w:tcPr>
            <w:tcW w:type="dxa" w:w="1944"/>
          </w:tcPr>
          <w:p>
            <w:pPr>
              <w:spacing w:after="20" w:before="20"/>
              <w:jc w:val="right"/>
            </w:pPr>
            <w:r>
              <w:rPr>
                <w:rFonts w:ascii="Calibri" w:hAnsi="Calibri"/>
                <w:b w:val="0"/>
                <w:sz w:val="17"/>
              </w:rPr>
            </w:r>
            <w:r>
              <w:rPr>
                <w:rFonts w:ascii="Calibri" w:hAnsi="Calibri"/>
                <w:b w:val="0"/>
                <w:sz w:val="17"/>
              </w:rPr>
              <w:t>£1,396</w:t>
            </w:r>
          </w:p>
        </w:tc>
      </w:tr>
      <w:tr>
        <w:tc>
          <w:tcPr>
            <w:tcW w:type="dxa" w:w="1152"/>
          </w:tcPr>
          <w:p>
            <w:pPr>
              <w:spacing w:after="20" w:before="20"/>
            </w:pPr>
            <w:r>
              <w:rPr>
                <w:rFonts w:ascii="Calibri" w:hAnsi="Calibri"/>
                <w:b w:val="0"/>
                <w:sz w:val="17"/>
              </w:rPr>
            </w:r>
            <w:r>
              <w:rPr>
                <w:rFonts w:ascii="Calibri" w:hAnsi="Calibri"/>
                <w:b w:val="0"/>
                <w:sz w:val="17"/>
              </w:rPr>
              <w:t>2011-09</w:t>
            </w:r>
          </w:p>
        </w:tc>
        <w:tc>
          <w:tcPr>
            <w:tcW w:type="dxa" w:w="1224"/>
          </w:tcPr>
          <w:p>
            <w:pPr>
              <w:spacing w:after="20" w:before="20"/>
              <w:jc w:val="right"/>
            </w:pPr>
            <w:r>
              <w:rPr>
                <w:rFonts w:ascii="Calibri" w:hAnsi="Calibri"/>
                <w:b w:val="0"/>
                <w:sz w:val="17"/>
              </w:rPr>
            </w:r>
            <w:r>
              <w:rPr>
                <w:rFonts w:ascii="Calibri" w:hAnsi="Calibri"/>
                <w:b w:val="0"/>
                <w:sz w:val="17"/>
              </w:rPr>
              <w:t>188</w:t>
            </w:r>
          </w:p>
        </w:tc>
        <w:tc>
          <w:tcPr>
            <w:tcW w:type="dxa" w:w="1080"/>
          </w:tcPr>
          <w:p>
            <w:pPr>
              <w:spacing w:after="20" w:before="20"/>
              <w:jc w:val="right"/>
            </w:pPr>
            <w:r>
              <w:rPr>
                <w:rFonts w:ascii="Calibri" w:hAnsi="Calibri"/>
                <w:b w:val="0"/>
                <w:sz w:val="17"/>
              </w:rPr>
            </w:r>
            <w:r>
              <w:rPr>
                <w:rFonts w:ascii="Calibri" w:hAnsi="Calibri"/>
                <w:b w:val="0"/>
                <w:sz w:val="17"/>
              </w:rPr>
              <w:t>27.1%</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296"/>
          </w:tcPr>
          <w:p>
            <w:pPr>
              <w:spacing w:after="20" w:before="20"/>
              <w:jc w:val="right"/>
            </w:pPr>
            <w:r>
              <w:rPr>
                <w:rFonts w:ascii="Calibri" w:hAnsi="Calibri"/>
                <w:b w:val="0"/>
                <w:sz w:val="17"/>
              </w:rPr>
            </w:r>
            <w:r>
              <w:rPr>
                <w:rFonts w:ascii="Calibri" w:hAnsi="Calibri"/>
                <w:b w:val="0"/>
                <w:sz w:val="17"/>
              </w:rPr>
              <w:t>£156k</w:t>
            </w:r>
          </w:p>
        </w:tc>
        <w:tc>
          <w:tcPr>
            <w:tcW w:type="dxa" w:w="1944"/>
          </w:tcPr>
          <w:p>
            <w:pPr>
              <w:spacing w:after="20" w:before="20"/>
              <w:jc w:val="right"/>
            </w:pPr>
            <w:r>
              <w:rPr>
                <w:rFonts w:ascii="Calibri" w:hAnsi="Calibri"/>
                <w:b w:val="0"/>
                <w:sz w:val="17"/>
              </w:rPr>
            </w:r>
            <w:r>
              <w:rPr>
                <w:rFonts w:ascii="Calibri" w:hAnsi="Calibri"/>
                <w:b w:val="0"/>
                <w:sz w:val="17"/>
              </w:rPr>
              <w:t>£827</w:t>
            </w:r>
          </w:p>
        </w:tc>
      </w:tr>
      <w:tr>
        <w:tc>
          <w:tcPr>
            <w:tcW w:type="dxa" w:w="1152"/>
          </w:tcPr>
          <w:p>
            <w:pPr>
              <w:spacing w:after="20" w:before="20"/>
            </w:pPr>
            <w:r>
              <w:rPr>
                <w:rFonts w:ascii="Calibri" w:hAnsi="Calibri"/>
                <w:b w:val="0"/>
                <w:sz w:val="17"/>
              </w:rPr>
            </w:r>
            <w:r>
              <w:rPr>
                <w:rFonts w:ascii="Calibri" w:hAnsi="Calibri"/>
                <w:b w:val="0"/>
                <w:sz w:val="17"/>
              </w:rPr>
              <w:t>2011-10</w:t>
            </w:r>
          </w:p>
        </w:tc>
        <w:tc>
          <w:tcPr>
            <w:tcW w:type="dxa" w:w="1224"/>
          </w:tcPr>
          <w:p>
            <w:pPr>
              <w:spacing w:after="20" w:before="20"/>
              <w:jc w:val="right"/>
            </w:pPr>
            <w:r>
              <w:rPr>
                <w:rFonts w:ascii="Calibri" w:hAnsi="Calibri"/>
                <w:b w:val="0"/>
                <w:sz w:val="17"/>
              </w:rPr>
            </w:r>
            <w:r>
              <w:rPr>
                <w:rFonts w:ascii="Calibri" w:hAnsi="Calibri"/>
                <w:b w:val="0"/>
                <w:sz w:val="17"/>
              </w:rPr>
              <w:t>221</w:t>
            </w:r>
          </w:p>
        </w:tc>
        <w:tc>
          <w:tcPr>
            <w:tcW w:type="dxa" w:w="1080"/>
          </w:tcPr>
          <w:p>
            <w:pPr>
              <w:spacing w:after="20" w:before="20"/>
              <w:jc w:val="right"/>
            </w:pPr>
            <w:r>
              <w:rPr>
                <w:rFonts w:ascii="Calibri" w:hAnsi="Calibri"/>
                <w:b w:val="0"/>
                <w:sz w:val="17"/>
              </w:rPr>
            </w:r>
            <w:r>
              <w:rPr>
                <w:rFonts w:ascii="Calibri" w:hAnsi="Calibri"/>
                <w:b w:val="0"/>
                <w:sz w:val="17"/>
              </w:rPr>
              <w:t>32.1%</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296"/>
          </w:tcPr>
          <w:p>
            <w:pPr>
              <w:spacing w:after="20" w:before="20"/>
              <w:jc w:val="right"/>
            </w:pPr>
            <w:r>
              <w:rPr>
                <w:rFonts w:ascii="Calibri" w:hAnsi="Calibri"/>
                <w:b w:val="0"/>
                <w:sz w:val="17"/>
              </w:rPr>
            </w:r>
            <w:r>
              <w:rPr>
                <w:rFonts w:ascii="Calibri" w:hAnsi="Calibri"/>
                <w:b w:val="0"/>
                <w:sz w:val="17"/>
              </w:rPr>
              <w:t>£144k</w:t>
            </w:r>
          </w:p>
        </w:tc>
        <w:tc>
          <w:tcPr>
            <w:tcW w:type="dxa" w:w="1944"/>
          </w:tcPr>
          <w:p>
            <w:pPr>
              <w:spacing w:after="20" w:before="20"/>
              <w:jc w:val="right"/>
            </w:pPr>
            <w:r>
              <w:rPr>
                <w:rFonts w:ascii="Calibri" w:hAnsi="Calibri"/>
                <w:b w:val="0"/>
                <w:sz w:val="17"/>
              </w:rPr>
            </w:r>
            <w:r>
              <w:rPr>
                <w:rFonts w:ascii="Calibri" w:hAnsi="Calibri"/>
                <w:b w:val="0"/>
                <w:sz w:val="17"/>
              </w:rPr>
              <w:t>£649</w:t>
            </w:r>
          </w:p>
        </w:tc>
      </w:tr>
      <w:tr>
        <w:tc>
          <w:tcPr>
            <w:tcW w:type="dxa" w:w="1152"/>
          </w:tcPr>
          <w:p>
            <w:pPr>
              <w:spacing w:after="20" w:before="20"/>
            </w:pPr>
            <w:r>
              <w:rPr>
                <w:rFonts w:ascii="Calibri" w:hAnsi="Calibri"/>
                <w:b w:val="0"/>
                <w:sz w:val="17"/>
              </w:rPr>
            </w:r>
            <w:r>
              <w:rPr>
                <w:rFonts w:ascii="Calibri" w:hAnsi="Calibri"/>
                <w:b w:val="0"/>
                <w:sz w:val="17"/>
              </w:rPr>
              <w:t>2011-11</w:t>
            </w:r>
          </w:p>
        </w:tc>
        <w:tc>
          <w:tcPr>
            <w:tcW w:type="dxa" w:w="1224"/>
          </w:tcPr>
          <w:p>
            <w:pPr>
              <w:spacing w:after="20" w:before="20"/>
              <w:jc w:val="right"/>
            </w:pPr>
            <w:r>
              <w:rPr>
                <w:rFonts w:ascii="Calibri" w:hAnsi="Calibri"/>
                <w:b w:val="0"/>
                <w:sz w:val="17"/>
              </w:rPr>
            </w:r>
            <w:r>
              <w:rPr>
                <w:rFonts w:ascii="Calibri" w:hAnsi="Calibri"/>
                <w:b w:val="0"/>
                <w:sz w:val="17"/>
              </w:rPr>
              <w:t>191</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296"/>
          </w:tcPr>
          <w:p>
            <w:pPr>
              <w:spacing w:after="20" w:before="20"/>
              <w:jc w:val="right"/>
            </w:pPr>
            <w:r>
              <w:rPr>
                <w:rFonts w:ascii="Calibri" w:hAnsi="Calibri"/>
                <w:b w:val="0"/>
                <w:sz w:val="17"/>
              </w:rPr>
            </w:r>
            <w:r>
              <w:rPr>
                <w:rFonts w:ascii="Calibri" w:hAnsi="Calibri"/>
                <w:b w:val="0"/>
                <w:sz w:val="17"/>
              </w:rPr>
              <w:t>£93k</w:t>
            </w:r>
          </w:p>
        </w:tc>
        <w:tc>
          <w:tcPr>
            <w:tcW w:type="dxa" w:w="1944"/>
          </w:tcPr>
          <w:p>
            <w:pPr>
              <w:spacing w:after="20" w:before="20"/>
              <w:jc w:val="right"/>
            </w:pPr>
            <w:r>
              <w:rPr>
                <w:rFonts w:ascii="Calibri" w:hAnsi="Calibri"/>
                <w:b w:val="0"/>
                <w:sz w:val="17"/>
              </w:rPr>
            </w:r>
            <w:r>
              <w:rPr>
                <w:rFonts w:ascii="Calibri" w:hAnsi="Calibri"/>
                <w:b w:val="0"/>
                <w:sz w:val="17"/>
              </w:rPr>
              <w:t>£489</w:t>
            </w:r>
          </w:p>
        </w:tc>
      </w:tr>
      <w:tr>
        <w:tc>
          <w:tcPr>
            <w:tcW w:type="dxa" w:w="1152"/>
          </w:tcPr>
          <w:p>
            <w:pPr>
              <w:spacing w:after="20" w:before="20"/>
            </w:pPr>
            <w:r>
              <w:rPr>
                <w:rFonts w:ascii="Calibri" w:hAnsi="Calibri"/>
                <w:b w:val="0"/>
                <w:sz w:val="17"/>
              </w:rPr>
            </w:r>
            <w:r>
              <w:rPr>
                <w:rFonts w:ascii="Calibri" w:hAnsi="Calibri"/>
                <w:b w:val="0"/>
                <w:sz w:val="17"/>
              </w:rPr>
              <w:t>2011-12</w:t>
            </w:r>
          </w:p>
        </w:tc>
        <w:tc>
          <w:tcPr>
            <w:tcW w:type="dxa" w:w="1224"/>
          </w:tcPr>
          <w:p>
            <w:pPr>
              <w:spacing w:after="20" w:before="20"/>
              <w:jc w:val="right"/>
            </w:pPr>
            <w:r>
              <w:rPr>
                <w:rFonts w:ascii="Calibri" w:hAnsi="Calibri"/>
                <w:b w:val="0"/>
                <w:sz w:val="17"/>
              </w:rPr>
            </w:r>
            <w:r>
              <w:rPr>
                <w:rFonts w:ascii="Calibri" w:hAnsi="Calibri"/>
                <w:b w:val="0"/>
                <w:sz w:val="17"/>
              </w:rPr>
              <w:t>28</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080"/>
          </w:tcPr>
          <w:p>
            <w:pPr>
              <w:spacing w:after="20" w:before="20"/>
              <w:jc w:val="right"/>
            </w:pPr>
            <w:r>
              <w:rPr>
                <w:rFonts w:ascii="Calibri" w:hAnsi="Calibri"/>
                <w:b w:val="0"/>
                <w:sz w:val="17"/>
              </w:rPr>
            </w:r>
            <w:r>
              <w:rPr>
                <w:rFonts w:ascii="Calibri" w:hAnsi="Calibri"/>
                <w:b w:val="0"/>
                <w:sz w:val="17"/>
              </w:rPr>
              <w:t>—</w:t>
            </w:r>
          </w:p>
        </w:tc>
        <w:tc>
          <w:tcPr>
            <w:tcW w:type="dxa" w:w="1296"/>
          </w:tcPr>
          <w:p>
            <w:pPr>
              <w:spacing w:after="20" w:before="20"/>
              <w:jc w:val="right"/>
            </w:pPr>
            <w:r>
              <w:rPr>
                <w:rFonts w:ascii="Calibri" w:hAnsi="Calibri"/>
                <w:b w:val="0"/>
                <w:sz w:val="17"/>
              </w:rPr>
            </w:r>
            <w:r>
              <w:rPr>
                <w:rFonts w:ascii="Calibri" w:hAnsi="Calibri"/>
                <w:b w:val="0"/>
                <w:sz w:val="17"/>
              </w:rPr>
              <w:t>£24k</w:t>
            </w:r>
          </w:p>
        </w:tc>
        <w:tc>
          <w:tcPr>
            <w:tcW w:type="dxa" w:w="1944"/>
          </w:tcPr>
          <w:p>
            <w:pPr>
              <w:spacing w:after="20" w:before="20"/>
              <w:jc w:val="right"/>
            </w:pPr>
            <w:r>
              <w:rPr>
                <w:rFonts w:ascii="Calibri" w:hAnsi="Calibri"/>
                <w:b w:val="0"/>
                <w:sz w:val="17"/>
              </w:rPr>
            </w:r>
            <w:r>
              <w:rPr>
                <w:rFonts w:ascii="Calibri" w:hAnsi="Calibri"/>
                <w:b w:val="0"/>
                <w:sz w:val="17"/>
              </w:rPr>
              <w:t>£851</w:t>
            </w:r>
          </w:p>
        </w:tc>
      </w:tr>
    </w:tbl>
    <w:p/>
    <w:p>
      <w:r>
        <w:rPr>
          <w:b w:val="0"/>
          <w:i w:val="0"/>
        </w:rPr>
        <w:t xml:space="preserve">Retention settles at roughly a fifth and then holds: </w:t>
      </w:r>
      <w:r>
        <w:rPr>
          <w:b/>
          <w:i w:val="0"/>
        </w:rPr>
        <w:t>20.8% at month 1, 21.0% at month 3, 17.3% at month 6 and 18.0% at month 12</w:t>
      </w:r>
      <w:r>
        <w:rPr>
          <w:b w:val="0"/>
          <w:i w:val="0"/>
        </w:rPr>
        <w:t>, excluding the left-censored first cohort. A curve that flattens rather than decaying is the signature of a wholesale reorder cycle: the customers who stay, stay for years.</w:t>
      </w:r>
    </w:p>
    <w:p>
      <w:r>
        <w:rPr>
          <w:b w:val="0"/>
          <w:i w:val="0"/>
        </w:rPr>
        <w:t>Two exclusions are applied before those averages are taken, for the same reason the revenue chart drops the final month. 24 cells of the matrix land in December 2011, which holds 9 December 2011 and therefore nine days rather than a month; a nine-day window measures less reordering than a full one for arithmetic reasons alone, so those cells are treated as not comparable and left blank. Cells to the right of each cohort's own history are absent rather than zero.</w:t>
      </w:r>
    </w:p>
    <w:p>
      <w:pPr>
        <w:pStyle w:val="Heading2"/>
      </w:pPr>
      <w:r>
        <w:t>11.1  Correcting the first cohort</w:t>
      </w:r>
    </w:p>
    <w:p>
      <w:r>
        <w:rPr>
          <w:b w:val="0"/>
          <w:i w:val="0"/>
        </w:rPr>
        <w:t>The December 2009 cohort is the largest in the file (953 customers) and it retains far better than any other - because it is not really a cohort. Customers who had been buying before the log opens are recorded as newly acquired in the first month, so an established base is being counted as new. Excluding it moves month-1 retention from 21.4% to 20.8% and month-12 from 19.6% to 18.0%.</w:t>
      </w:r>
    </w:p>
    <w:p>
      <w:r>
        <w:rPr>
          <w:b w:val="0"/>
          <w:i w:val="0"/>
        </w:rPr>
        <w:t xml:space="preserve">The same artefact distorts a conclusion an analyst might otherwise draw. The correlation between cohort size and month-6 retention is </w:t>
      </w:r>
      <w:r>
        <w:rPr>
          <w:b/>
          <w:i w:val="0"/>
        </w:rPr>
        <w:t>+0.668 with the first cohort included and +0.372 without it</w:t>
      </w:r>
      <w:r>
        <w:rPr>
          <w:b w:val="0"/>
          <w:i w:val="0"/>
        </w:rPr>
        <w:t xml:space="preserve"> - so “bigger cohorts retain better” is mostly one censored row doing the work.</w:t>
      </w:r>
    </w:p>
    <w:p>
      <w:pPr>
        <w:pStyle w:val="Heading2"/>
      </w:pPr>
      <w:r>
        <w:t>11.2  What the Christmas peak actually delivers</w:t>
      </w:r>
    </w:p>
    <w:p>
      <w:r>
        <w:rPr>
          <w:b w:val="0"/>
          <w:i w:val="0"/>
        </w:rPr>
        <w:t xml:space="preserve">Splitting cohorts by acquisition month exposes a sharp difference. </w:t>
      </w:r>
      <w:r>
        <w:rPr>
          <w:b/>
          <w:i w:val="0"/>
        </w:rPr>
        <w:t>Customers acquired in November or December retain at 9.3% by month 3, against 22.3% for customers acquired in any other month</w:t>
      </w:r>
      <w:r>
        <w:rPr>
          <w:b w:val="0"/>
          <w:i w:val="0"/>
        </w:rPr>
        <w:t xml:space="preserve"> - a gap of 2.4x. The season that produces the revenue spike appears to produce the retailer's worst customers, and a target that counts peak-season acquisitions as equivalent new relationships is measuring the wrong thing.</w:t>
      </w:r>
    </w:p>
    <w:p>
      <w:r>
        <w:rPr>
          <w:b w:val="0"/>
          <w:i w:val="0"/>
        </w:rPr>
        <w:t xml:space="preserve">How much weight that carries is a separate question, and the answer is: less than the size of the gap suggests. Section 11.1 excludes the left-censored December 2009 row, and that row is the only other December in the file, so the peak side of this comparison is </w:t>
      </w:r>
      <w:r>
        <w:rPr>
          <w:b/>
          <w:i w:val="0"/>
        </w:rPr>
        <w:t>2 cohorts - 2010-11, 2010-12 - holding 402 customers between them, 38 of whom ordered again at month 3</w:t>
      </w:r>
      <w:r>
        <w:rPr>
          <w:b w:val="0"/>
          <w:i w:val="0"/>
        </w:rPr>
        <w:t xml:space="preserve"> - against 18 off-peak cohorts. Every peak customer in it was acquired in a single trading season, so nothing here separates </w:t>
      </w:r>
      <w:r>
        <w:rPr>
          <w:b w:val="0"/>
          <w:i/>
        </w:rPr>
        <w:t>this</w:t>
      </w:r>
      <w:r>
        <w:rPr>
          <w:b w:val="0"/>
          <w:i w:val="0"/>
        </w:rPr>
        <w:t xml:space="preserve"> Christmas from Christmas in general.</w:t>
      </w:r>
    </w:p>
    <w:p>
      <w:r>
        <w:rPr>
          <w:b w:val="0"/>
          <w:i w:val="0"/>
        </w:rPr>
        <w:t>There is also a calendar confound. Month 3 for those cohorts falls in 2011-02, 2011-03 - the trough identified in section 7.1, where monthly revenue is 34.7% of the peak. A cohort acquired in November is being asked to reorder in the retailer's quietest weeks, while a cohort acquired in June is asked to reorder in September. Part of the gap is therefore weak seasonal demand rather than weak customers, and this dataset cannot separate the two. The finding is a lead worth testing on the next season, which is how recommendation 5 is written; it is not an established seasonal law.</w:t>
      </w:r>
    </w:p>
    <w:p>
      <w:r>
        <w:br w:type="page"/>
      </w:r>
    </w:p>
    <w:p>
      <w:pPr>
        <w:pStyle w:val="Heading1"/>
      </w:pPr>
      <w:r>
        <w:t>12.  Key findings</w:t>
      </w:r>
    </w:p>
    <w:p>
      <w:r>
        <w:rPr>
          <w:b w:val="0"/>
          <w:i/>
          <w:color w:val="4A4A48"/>
          <w:sz w:val="20"/>
        </w:rPr>
        <w:t xml:space="preserve">Every figure below is computed in the notebook and stored in </w:t>
      </w:r>
      <w:r>
        <w:rPr>
          <w:rFonts w:ascii="Consolas" w:hAnsi="Consolas"/>
          <w:b w:val="0"/>
          <w:i/>
          <w:color w:val="4A4A48"/>
          <w:sz w:val="20"/>
        </w:rPr>
        <w:t>outputs/facts.json</w:t>
      </w:r>
      <w:r>
        <w:rPr>
          <w:b w:val="0"/>
          <w:i/>
          <w:color w:val="4A4A48"/>
          <w:sz w:val="20"/>
        </w:rPr>
        <w:t>. Nothing here is estimated or rounded from memory.</w:t>
      </w:r>
    </w:p>
    <w:p>
      <w:pPr>
        <w:pStyle w:val="Heading2"/>
      </w:pPr>
      <w:r>
        <w:t>Finding 1.  Revenue is extremely concentrated, so segmentation is justified before it is built</w:t>
      </w:r>
    </w:p>
    <w:p>
      <w:r>
        <w:rPr>
          <w:b/>
          <w:i w:val="0"/>
        </w:rPr>
        <w:t>1,170 customers (20%) generate 77.2% of identified revenue. The top 58 customers (1%) generate 31.9%.</w:t>
      </w:r>
      <w:r>
        <w:rPr>
          <w:b w:val="0"/>
          <w:i w:val="0"/>
        </w:rPr>
        <w:t xml:space="preserve"> The median customer is worth £889 and the mean £2,994 - 3.4x - so “the average customer” is a fiction. Order value tells the same story: a £517.14 mean against a £303.85 median.</w:t>
      </w:r>
    </w:p>
    <w:p>
      <w:r>
        <w:rPr>
          <w:b w:val="0"/>
          <w:i w:val="0"/>
        </w:rPr>
        <w:t>Uniform treatment of this base is guaranteed to be wrong, because it is calibrated to a customer who does not exist.</w:t>
      </w:r>
    </w:p>
    <w:p>
      <w:pPr>
        <w:pStyle w:val="Heading2"/>
      </w:pPr>
      <w:r>
        <w:t>Finding 2.  One segment holds most of the revenue, and a different one holds the risk</w:t>
      </w:r>
    </w:p>
    <w:p>
      <w:r>
        <w:rPr>
          <w:b/>
          <w:i w:val="0"/>
        </w:rPr>
        <w:t>Champions - 1,555 customers, 26.6% of the base - account for £12.54M, or 71.5% of identified revenue.</w:t>
      </w:r>
      <w:r>
        <w:rPr>
          <w:b w:val="0"/>
          <w:i w:val="0"/>
        </w:rPr>
        <w:t xml:space="preserve"> At the other end, 945 </w:t>
      </w:r>
      <w:r>
        <w:rPr>
          <w:b w:val="0"/>
          <w:i/>
        </w:rPr>
        <w:t>Lost</w:t>
      </w:r>
      <w:r>
        <w:rPr>
          <w:b w:val="0"/>
          <w:i w:val="0"/>
        </w:rPr>
        <w:t xml:space="preserve"> and 714 </w:t>
      </w:r>
      <w:r>
        <w:rPr>
          <w:b w:val="0"/>
          <w:i/>
        </w:rPr>
        <w:t>Hibernating</w:t>
      </w:r>
      <w:r>
        <w:rPr>
          <w:b w:val="0"/>
          <w:i w:val="0"/>
        </w:rPr>
        <w:t xml:space="preserve"> customers (28.3% of the base) contribute 3.4% between them.</w:t>
      </w:r>
    </w:p>
    <w:p>
      <w:r>
        <w:rPr>
          <w:b w:val="0"/>
          <w:i w:val="0"/>
        </w:rPr>
        <w:t xml:space="preserve">The urgent group is neither: </w:t>
      </w:r>
      <w:r>
        <w:rPr>
          <w:b/>
          <w:i w:val="0"/>
        </w:rPr>
        <w:t xml:space="preserve">683 customers in </w:t>
      </w:r>
      <w:r>
        <w:rPr>
          <w:b/>
          <w:i/>
        </w:rPr>
        <w:t>Cannot lose them</w:t>
      </w:r>
      <w:r>
        <w:rPr>
          <w:b/>
          <w:i w:val="0"/>
        </w:rPr>
        <w:t xml:space="preserve"> and </w:t>
      </w:r>
      <w:r>
        <w:rPr>
          <w:b/>
          <w:i/>
        </w:rPr>
        <w:t>At risk</w:t>
      </w:r>
      <w:r>
        <w:rPr>
          <w:b/>
          <w:i w:val="0"/>
        </w:rPr>
        <w:t xml:space="preserve"> have already spent £1,689,620 (9.6% of identified revenue) and have stopped ordering.</w:t>
      </w:r>
      <w:r>
        <w:rPr>
          <w:b w:val="0"/>
          <w:i w:val="0"/>
        </w:rPr>
        <w:t xml:space="preserve"> These are proven buyers who went quiet - the only group where an intervention has a large, identified prize attached.</w:t>
      </w:r>
    </w:p>
    <w:p>
      <w:pPr>
        <w:pStyle w:val="Heading2"/>
      </w:pPr>
      <w:r>
        <w:t>Finding 3.  The two largest sales in the dataset were never sales</w:t>
      </w:r>
    </w:p>
    <w:p>
      <w:r>
        <w:rPr>
          <w:b/>
          <w:i w:val="0"/>
        </w:rPr>
        <w:t>The single biggest line in 1,067,371 rows - 80,995 units of Paper Craft , Little Birdie, £168,469.60 - was cancelled 12 minutes after it was raised</w:t>
      </w:r>
      <w:r>
        <w:rPr>
          <w:b w:val="0"/>
          <w:i w:val="0"/>
        </w:rPr>
        <w:t xml:space="preserve">, on the final day of the log. Net contribution: </w:t>
      </w:r>
      <w:r>
        <w:rPr>
          <w:b/>
          <w:i w:val="0"/>
        </w:rPr>
        <w:t>£0.00</w:t>
      </w:r>
      <w:r>
        <w:rPr>
          <w:b w:val="0"/>
          <w:i w:val="0"/>
        </w:rPr>
        <w:t xml:space="preserve">. </w:t>
      </w:r>
      <w:r>
        <w:rPr>
          <w:b/>
          <w:i w:val="0"/>
        </w:rPr>
        <w:t>The second-biggest line - 74,215 units of Medium Ceramic Top Storage Jar, £77,183.60 - was cancelled too.</w:t>
      </w:r>
      <w:r>
        <w:rPr>
          <w:b w:val="0"/>
          <w:i w:val="0"/>
        </w:rPr>
        <w:t xml:space="preserve"> Neither of the two largest sales in the dataset was a sale.</w:t>
      </w:r>
    </w:p>
    <w:p>
      <w:r>
        <w:rPr>
          <w:b w:val="0"/>
          <w:i w:val="0"/>
        </w:rPr>
        <w:t xml:space="preserve">Ranked on gross revenue Paper Craft , Little Birdie is the retailer's </w:t>
      </w:r>
      <w:r>
        <w:rPr>
          <w:b/>
          <w:i w:val="0"/>
        </w:rPr>
        <w:t>4th</w:t>
      </w:r>
      <w:r>
        <w:rPr>
          <w:b w:val="0"/>
          <w:i w:val="0"/>
        </w:rPr>
        <w:t xml:space="preserve"> best seller. Ranked net of cancellations it is </w:t>
      </w:r>
      <w:r>
        <w:rPr>
          <w:b/>
          <w:i w:val="0"/>
        </w:rPr>
        <w:t>4,711th</w:t>
      </w:r>
      <w:r>
        <w:rPr>
          <w:b w:val="0"/>
          <w:i w:val="0"/>
        </w:rPr>
        <w:t xml:space="preserve">; Medium Ceramic Top Storage Jar falls from 9th to 1,032nd. </w:t>
      </w:r>
      <w:r>
        <w:rPr>
          <w:b/>
          <w:i w:val="0"/>
        </w:rPr>
        <w:t>7 of the top ten products change position once returns are netted off.</w:t>
      </w:r>
      <w:r>
        <w:rPr>
          <w:b w:val="0"/>
          <w:i w:val="0"/>
        </w:rPr>
        <w:t xml:space="preserve"> Any product report built on gross sales - the default in most published work on this dataset - is materially wrong at the top of the table.</w:t>
      </w:r>
    </w:p>
    <w:p>
      <w:pPr>
        <w:pStyle w:val="Heading2"/>
      </w:pPr>
      <w:r>
        <w:t>Finding 4.  Returns cost £0.74M, and the aggregate rate hides the problem</w:t>
      </w:r>
    </w:p>
    <w:p>
      <w:r>
        <w:rPr>
          <w:b w:val="0"/>
          <w:i w:val="0"/>
        </w:rPr>
        <w:t xml:space="preserve">Returns total </w:t>
      </w:r>
      <w:r>
        <w:rPr>
          <w:b/>
          <w:i w:val="0"/>
        </w:rPr>
        <w:t>£738,952 across 18,467 lines - 3.60% of gross revenue</w:t>
      </w:r>
      <w:r>
        <w:rPr>
          <w:b w:val="0"/>
          <w:i w:val="0"/>
        </w:rPr>
        <w:t xml:space="preserve">, taking £20.52M down to a net £19.78M. The monthly rate averages 3.0% but is not stable: it </w:t>
      </w:r>
      <w:r>
        <w:rPr>
          <w:b/>
          <w:i w:val="0"/>
        </w:rPr>
        <w:t>spikes to 13.30% in January 2011</w:t>
      </w:r>
      <w:r>
        <w:rPr>
          <w:b w:val="0"/>
          <w:i w:val="0"/>
        </w:rPr>
        <w:t>, immediately after the Christmas peak.</w:t>
      </w:r>
    </w:p>
    <w:p>
      <w:r>
        <w:rPr>
          <w:b w:val="0"/>
          <w:i w:val="0"/>
        </w:rPr>
        <w:t>Returns are a post-seasonal event, not a constant leak, so a single annual return-rate assumption will under-provision January and over-provision the rest of the year.</w:t>
      </w:r>
    </w:p>
    <w:p>
      <w:pPr>
        <w:pStyle w:val="Heading2"/>
      </w:pPr>
      <w:r>
        <w:t>Finding 5.  The business is one country and one quarter</w:t>
      </w:r>
    </w:p>
    <w:p>
      <w:r>
        <w:rPr>
          <w:b/>
          <w:i w:val="0"/>
        </w:rPr>
        <w:t>The UK is 85.36% of revenue (£17.51M);</w:t>
      </w:r>
      <w:r>
        <w:rPr>
          <w:b w:val="0"/>
          <w:i w:val="0"/>
        </w:rPr>
        <w:t xml:space="preserve"> all 42 other markets together make £3.00M. </w:t>
      </w:r>
      <w:r>
        <w:rPr>
          <w:b/>
          <w:i w:val="0"/>
        </w:rPr>
        <w:t>September to November averages £1.19M per month against £708,613 for every other month - a 67.6% seasonal uplift</w:t>
      </w:r>
      <w:r>
        <w:rPr>
          <w:b w:val="0"/>
          <w:i w:val="0"/>
        </w:rPr>
        <w:t>, peaking at £1.50M in November 2011 against a £521,308 trough in February 2011.</w:t>
      </w:r>
    </w:p>
    <w:p>
      <w:r>
        <w:rPr>
          <w:b w:val="0"/>
          <w:i w:val="0"/>
        </w:rPr>
        <w:t xml:space="preserve">Both concentrations are risks, but the export data also holds an opportunity the revenue ranking hides: </w:t>
      </w:r>
      <w:r>
        <w:rPr>
          <w:b/>
          <w:i w:val="0"/>
        </w:rPr>
        <w:t>Netherlands averages £2,484.46 per order against the UK's £483.27 - 5.1x</w:t>
      </w:r>
      <w:r>
        <w:rPr>
          <w:b w:val="0"/>
          <w:i w:val="0"/>
        </w:rPr>
        <w:t xml:space="preserve"> - on a small number of orders. The export markets are low-volume and high-value, which is a different business from the domestic one.</w:t>
      </w:r>
    </w:p>
    <w:p>
      <w:pPr>
        <w:pStyle w:val="Heading2"/>
      </w:pPr>
      <w:r>
        <w:t>Finding 6.  The existing base carries the revenue but shrank; new customers covered the gap</w:t>
      </w:r>
    </w:p>
    <w:p>
      <w:r>
        <w:rPr>
          <w:b w:val="0"/>
          <w:i w:val="0"/>
        </w:rPr>
        <w:t xml:space="preserve">On all revenue, like-for-like years grew </w:t>
      </w:r>
      <w:r>
        <w:rPr>
          <w:b/>
          <w:i w:val="0"/>
        </w:rPr>
        <w:t>8.1%</w:t>
      </w:r>
      <w:r>
        <w:rPr>
          <w:b w:val="0"/>
          <w:i w:val="0"/>
        </w:rPr>
        <w:t xml:space="preserve"> (£9.56M to £10.32M). Underneath that, two questions get confused, so both are answered on the identified base. </w:t>
      </w:r>
      <w:r>
        <w:rPr>
          <w:b/>
          <w:i w:val="0"/>
        </w:rPr>
        <w:t>Repeat buying dominates the level:</w:t>
      </w:r>
      <w:r>
        <w:rPr>
          <w:b w:val="0"/>
          <w:i w:val="0"/>
        </w:rPr>
        <w:t xml:space="preserve"> in the second year 91.3% of identified revenue came from customers who had already ordered in an earlier month, and only 8.7% from customers in their first month.</w:t>
      </w:r>
    </w:p>
    <w:p>
      <w:r>
        <w:rPr>
          <w:b/>
          <w:i w:val="0"/>
        </w:rPr>
        <w:t>Acquisition, not retention, produced the growth.</w:t>
      </w:r>
      <w:r>
        <w:rPr>
          <w:b w:val="0"/>
          <w:i w:val="0"/>
        </w:rPr>
        <w:t xml:space="preserve"> Split by acquisition cohort, identified revenue went from £8,384,041 to £8,627,354 - a rise of just </w:t>
      </w:r>
      <w:r>
        <w:rPr>
          <w:b/>
          <w:i w:val="0"/>
        </w:rPr>
        <w:t>£243,313 (2.9%)</w:t>
      </w:r>
      <w:r>
        <w:rPr>
          <w:b w:val="0"/>
          <w:i w:val="0"/>
        </w:rPr>
        <w:t xml:space="preserve"> - made up of </w:t>
      </w:r>
      <w:r>
        <w:rPr>
          <w:b/>
          <w:i w:val="0"/>
        </w:rPr>
        <w:t>£1,491,334 from customers first acquired during year 2, against a £1,248,022 decline in the year-1 base.</w:t>
      </w:r>
      <w:r>
        <w:rPr>
          <w:b w:val="0"/>
          <w:i w:val="0"/>
        </w:rPr>
        <w:t xml:space="preserve"> Customers acquired before year 2 still supplied 82.7% of its revenue, but less of it than the year before.</w:t>
      </w:r>
    </w:p>
    <w:p>
      <w:r>
        <w:rPr>
          <w:b w:val="0"/>
          <w:i w:val="0"/>
        </w:rPr>
        <w:t>So the existing base is where the money is, and it is leaking. That is a stronger reason to act on finding 2's at-risk pool than "growth came from retention" would have been: the decline is already in the totals.</w:t>
      </w:r>
    </w:p>
    <w:p>
      <w:pPr>
        <w:pStyle w:val="Heading2"/>
      </w:pPr>
      <w:r>
        <w:t>Finding 7.  Christmas buys volume, not loyalty</w:t>
      </w:r>
    </w:p>
    <w:p>
      <w:r>
        <w:rPr>
          <w:b w:val="0"/>
          <w:i w:val="0"/>
        </w:rPr>
        <w:t xml:space="preserve">Retention settles at roughly a fifth and then holds: </w:t>
      </w:r>
      <w:r>
        <w:rPr>
          <w:b/>
          <w:i w:val="0"/>
        </w:rPr>
        <w:t>20.8% at month 1, 21.0% at month 3, 17.3% at month 6, 18.0% at month 12</w:t>
      </w:r>
      <w:r>
        <w:rPr>
          <w:b w:val="0"/>
          <w:i w:val="0"/>
        </w:rPr>
        <w:t xml:space="preserve"> (excluding the left-censored first cohort). The curve flattens rather than decaying, which is the signature of a wholesale reorder cycle rather than one-off consumer buying.</w:t>
      </w:r>
    </w:p>
    <w:p>
      <w:r>
        <w:rPr>
          <w:b w:val="0"/>
          <w:i w:val="0"/>
        </w:rPr>
        <w:t xml:space="preserve">Splitting cohorts by acquisition month exposes a sharp difference: </w:t>
      </w:r>
      <w:r>
        <w:rPr>
          <w:b/>
          <w:i w:val="0"/>
        </w:rPr>
        <w:t>customers acquired in November or December retain at 9.3% by month 3, against 22.3% for customers acquired in any other month</w:t>
      </w:r>
      <w:r>
        <w:rPr>
          <w:b w:val="0"/>
          <w:i w:val="0"/>
        </w:rPr>
        <w:t xml:space="preserve"> - less than half. The peak season that produces the revenue spike appears to produce the retailer's worst customers.</w:t>
      </w:r>
    </w:p>
    <w:p>
      <w:r>
        <w:rPr>
          <w:b/>
          <w:i w:val="0"/>
        </w:rPr>
        <w:t>How thin this one is.</w:t>
      </w:r>
      <w:r>
        <w:rPr>
          <w:b w:val="0"/>
          <w:i w:val="0"/>
        </w:rPr>
        <w:t xml:space="preserve"> Excluding the left-censored December 2009 row also excludes the only other December in the file, so the peak side is </w:t>
      </w:r>
      <w:r>
        <w:rPr>
          <w:b/>
          <w:i w:val="0"/>
        </w:rPr>
        <w:t>2 cohorts (2010-11, 2010-12), 402 customers, 38 of whom reordered at month 3</w:t>
      </w:r>
      <w:r>
        <w:rPr>
          <w:b w:val="0"/>
          <w:i w:val="0"/>
        </w:rPr>
        <w:t xml:space="preserve"> - against 18 off-peak cohorts, and all from one Christmas. Their month 3 falls in 2011-02, 2011-03, the calendar trough, so weak seasonal demand and weak customers are confounded. It is a hypothesis worth a controlled test, not an established seasonal law.</w:t>
      </w:r>
    </w:p>
    <w:p>
      <w:pPr>
        <w:pStyle w:val="Heading2"/>
      </w:pPr>
      <w:r>
        <w:t>Finding 8.  The rules and the algorithm agree, which is the point of running both</w:t>
      </w:r>
    </w:p>
    <w:p>
      <w:r>
        <w:rPr>
          <w:b w:val="0"/>
          <w:i w:val="0"/>
        </w:rPr>
        <w:t xml:space="preserve">K-Means on log-scaled RFM was given no rules, and </w:t>
      </w:r>
      <w:r>
        <w:rPr>
          <w:b/>
          <w:i w:val="0"/>
        </w:rPr>
        <w:t>every one of the nine rule-based segments sends at least 60% of its members to a single cluster</w:t>
      </w:r>
      <w:r>
        <w:rPr>
          <w:b w:val="0"/>
          <w:i w:val="0"/>
        </w:rPr>
        <w:t xml:space="preserve">. </w:t>
      </w:r>
      <w:r>
        <w:rPr>
          <w:b w:val="0"/>
          <w:i/>
        </w:rPr>
        <w:t>Cannot lose them</w:t>
      </w:r>
      <w:r>
        <w:rPr>
          <w:b w:val="0"/>
          <w:i w:val="0"/>
        </w:rPr>
        <w:t xml:space="preserve"> maps 96.7% onto one cluster and </w:t>
      </w:r>
      <w:r>
        <w:rPr>
          <w:b w:val="0"/>
          <w:i/>
        </w:rPr>
        <w:t>Lost</w:t>
      </w:r>
      <w:r>
        <w:rPr>
          <w:b w:val="0"/>
          <w:i w:val="0"/>
        </w:rPr>
        <w:t xml:space="preserve"> maps 98.4% onto another; the weakest is </w:t>
      </w:r>
      <w:r>
        <w:rPr>
          <w:b w:val="0"/>
          <w:i/>
        </w:rPr>
        <w:t>Loyal</w:t>
      </w:r>
      <w:r>
        <w:rPr>
          <w:b w:val="0"/>
          <w:i w:val="0"/>
        </w:rPr>
        <w:t xml:space="preserve"> at 60.9%. At customer level </w:t>
      </w:r>
      <w:r>
        <w:rPr>
          <w:b/>
          <w:i w:val="0"/>
        </w:rPr>
        <w:t>80.5% of accounts (4,710) sit in their own segment's modal cluster.</w:t>
      </w:r>
    </w:p>
    <w:p>
      <w:r>
        <w:rPr>
          <w:b w:val="0"/>
          <w:i w:val="0"/>
        </w:rPr>
        <w:t xml:space="preserve">What that does and does not prove: the two methods are </w:t>
      </w:r>
      <w:r>
        <w:rPr>
          <w:b/>
          <w:i w:val="0"/>
        </w:rPr>
        <w:t>not independent evidence in the strong sense</w:t>
      </w:r>
      <w:r>
        <w:rPr>
          <w:b w:val="0"/>
          <w:i w:val="0"/>
        </w:rPr>
        <w:t>, because both read the same three R/F/M features off the same rows. What differs is how the boundaries are drawn - fixed quintile thresholds against distances in a standardised space - so the agreement shows the structure does not depend on the thresholds chosen, which is the specific thing worth knowing about a hand-built segmentation.</w:t>
      </w:r>
    </w:p>
    <w:p>
      <w:r>
        <w:rPr>
          <w:b w:val="0"/>
          <w:i w:val="0"/>
        </w:rPr>
        <w:t xml:space="preserve">The honest caveat: the silhouette score preferred </w:t>
      </w:r>
      <w:r>
        <w:rPr>
          <w:b/>
          <w:i w:val="0"/>
        </w:rPr>
        <w:t>k = 2 (0.4376)</w:t>
      </w:r>
      <w:r>
        <w:rPr>
          <w:b w:val="0"/>
          <w:i w:val="0"/>
        </w:rPr>
        <w:t xml:space="preserve"> over the </w:t>
      </w:r>
      <w:r>
        <w:rPr>
          <w:b/>
          <w:i w:val="0"/>
        </w:rPr>
        <w:t>k = 4 (0.3649)</w:t>
      </w:r>
      <w:r>
        <w:rPr>
          <w:b w:val="0"/>
          <w:i w:val="0"/>
        </w:rPr>
        <w:t xml:space="preserve"> adopted here. Two clusters cannot be marketed to differently, so interpretability was chosen over the metric, and the cost is stated rather than hidden.</w:t>
      </w:r>
    </w:p>
    <w:p>
      <w:pPr>
        <w:pStyle w:val="Heading2"/>
      </w:pPr>
      <w:r>
        <w:t>Finding 9.  Two data artefacts that would have produced wrong answers</w:t>
      </w:r>
    </w:p>
    <w:p>
      <w:r>
        <w:rPr>
          <w:rFonts w:ascii="Consolas" w:hAnsi="Consolas"/>
          <w:b/>
          <w:i w:val="0"/>
          <w:sz w:val="19"/>
        </w:rPr>
        <w:t>InvoiceDate</w:t>
      </w:r>
      <w:r>
        <w:rPr>
          <w:b/>
          <w:i w:val="0"/>
        </w:rPr>
        <w:t xml:space="preserve"> is not customer intent.</w:t>
      </w:r>
      <w:r>
        <w:rPr>
          <w:b w:val="0"/>
          <w:i w:val="0"/>
        </w:rPr>
        <w:t xml:space="preserve"> All 30 Saturday orders in 25 months fall on one date, 5 December 2009 (0.076% of orders), while Sunday processes 4,826 orders at weekday-like volumes. No customer base trades every Sunday and one Saturday in two years. The timestamp records back-office keying, which makes it valid for staffing (78.1% of orders are processed between 10:00 and 15:59, peaking at 12:00) and worthless for deciding when to advertise.</w:t>
      </w:r>
    </w:p>
    <w:p>
      <w:r>
        <w:rPr>
          <w:b/>
          <w:i w:val="0"/>
        </w:rPr>
        <w:t>Cancellations are not the only reversal.</w:t>
      </w:r>
      <w:r>
        <w:rPr>
          <w:b w:val="0"/>
          <w:i w:val="0"/>
        </w:rPr>
        <w:t xml:space="preserve"> 6 </w:t>
      </w:r>
      <w:r>
        <w:rPr>
          <w:rFonts w:ascii="Consolas" w:hAnsi="Consolas"/>
          <w:b w:val="0"/>
          <w:i w:val="0"/>
          <w:sz w:val="19"/>
        </w:rPr>
        <w:t>A</w:t>
      </w:r>
      <w:r>
        <w:rPr>
          <w:b w:val="0"/>
          <w:i w:val="0"/>
        </w:rPr>
        <w:t>-prefixed invoices carry £-147,614 of bad-debt write-offs. The standard “drop invoices starting with C” recipe leaves all of it in the revenue line.</w:t>
      </w:r>
    </w:p>
    <w:p>
      <w:r>
        <w:br w:type="page"/>
      </w:r>
    </w:p>
    <w:p>
      <w:pPr>
        <w:pStyle w:val="Heading1"/>
      </w:pPr>
      <w:r>
        <w:t>13.  Recommendations</w:t>
      </w:r>
    </w:p>
    <w:p>
      <w:r>
        <w:rPr>
          <w:b w:val="0"/>
          <w:i/>
          <w:color w:val="4A4A48"/>
          <w:sz w:val="20"/>
        </w:rPr>
        <w:t>Each recommendation names the finding it rests on and the number that sizes it. Where the data cannot support a decision, that is stated instead of guessed.</w:t>
      </w:r>
    </w:p>
    <w:p>
      <w:pPr>
        <w:pStyle w:val="Heading2"/>
      </w:pPr>
      <w:r>
        <w:t>Recommendation 1.  Run a win-back on the 683 quiet high-value accounts - and measure it properly</w:t>
      </w:r>
    </w:p>
    <w:p>
      <w:r>
        <w:rPr>
          <w:b w:val="0"/>
          <w:i/>
        </w:rPr>
        <w:t>From finding 2.</w:t>
      </w:r>
      <w:r>
        <w:rPr>
          <w:b w:val="0"/>
          <w:i w:val="0"/>
        </w:rPr>
        <w:t xml:space="preserve"> These customers have already spent </w:t>
      </w:r>
      <w:r>
        <w:rPr>
          <w:b/>
          <w:i w:val="0"/>
        </w:rPr>
        <w:t>£1,689,620</w:t>
      </w:r>
      <w:r>
        <w:rPr>
          <w:b w:val="0"/>
          <w:i w:val="0"/>
        </w:rPr>
        <w:t xml:space="preserve"> and have stopped ordering. Prioritise by </w:t>
      </w:r>
      <w:r>
        <w:rPr>
          <w:b/>
          <w:i w:val="0"/>
        </w:rPr>
        <w:t>historical</w:t>
      </w:r>
      <w:r>
        <w:rPr>
          <w:b w:val="0"/>
          <w:i w:val="0"/>
        </w:rPr>
        <w:t xml:space="preserve"> value, not by the projected figure: section 10.1 shows the projection ranks this group </w:t>
      </w:r>
      <w:r>
        <w:rPr>
          <w:b w:val="0"/>
          <w:i/>
        </w:rPr>
        <w:t>above</w:t>
      </w:r>
      <w:r>
        <w:rPr>
          <w:b w:val="0"/>
          <w:i w:val="0"/>
        </w:rPr>
        <w:t xml:space="preserve"> Champions, which is an artefact of the constant-rate assumption rather than a real ordering.</w:t>
      </w:r>
    </w:p>
    <w:p>
      <w:r>
        <w:rPr>
          <w:b w:val="0"/>
          <w:i w:val="0"/>
        </w:rPr>
        <w:t>Because these are wholesale accounts, the intervention is a phone call from a named account manager, not a discount email - and a discount is the wrong lever anyway, since nothing in this dataset says price caused them to leave.</w:t>
      </w:r>
    </w:p>
    <w:p>
      <w:r>
        <w:rPr>
          <w:b/>
          <w:i w:val="0"/>
        </w:rPr>
        <w:t>Hold back a random 20% as an untreated control group.</w:t>
      </w:r>
      <w:r>
        <w:rPr>
          <w:b w:val="0"/>
          <w:i w:val="0"/>
        </w:rPr>
        <w:t xml:space="preserve"> Without one, any subsequent recovery is indistinguishable from customers who would have reordered regardless - and given the flat 18.0% month-12 reorder rate in finding 7, a meaningful fraction would have.</w:t>
      </w:r>
    </w:p>
    <w:p>
      <w:pPr>
        <w:pStyle w:val="Heading2"/>
      </w:pPr>
      <w:r>
        <w:t>Recommendation 2.  Protect the 1,555 Champions before chasing anyone new</w:t>
      </w:r>
    </w:p>
    <w:p>
      <w:r>
        <w:rPr>
          <w:b w:val="0"/>
          <w:i/>
        </w:rPr>
        <w:t>From findings 2 and 6.</w:t>
      </w:r>
      <w:r>
        <w:rPr>
          <w:b w:val="0"/>
          <w:i w:val="0"/>
        </w:rPr>
        <w:t xml:space="preserve"> Champions produce </w:t>
      </w:r>
      <w:r>
        <w:rPr>
          <w:b/>
          <w:i w:val="0"/>
        </w:rPr>
        <w:t>71.5% of identified revenue</w:t>
      </w:r>
      <w:r>
        <w:rPr>
          <w:b w:val="0"/>
          <w:i w:val="0"/>
        </w:rPr>
        <w:t xml:space="preserve">, and </w:t>
      </w:r>
      <w:r>
        <w:rPr>
          <w:b/>
          <w:i w:val="0"/>
        </w:rPr>
        <w:t>82.7% of second-year revenue came from customers acquired before that year began</w:t>
      </w:r>
      <w:r>
        <w:rPr>
          <w:b w:val="0"/>
          <w:i w:val="0"/>
        </w:rPr>
        <w:t xml:space="preserve">. The concentration cuts both ways: losing 58 customers (the top 1%) would remove </w:t>
      </w:r>
      <w:r>
        <w:rPr>
          <w:b/>
          <w:i w:val="0"/>
        </w:rPr>
        <w:t>31.9% of identified revenue</w:t>
      </w:r>
      <w:r>
        <w:rPr>
          <w:b w:val="0"/>
          <w:i w:val="0"/>
        </w:rPr>
        <w:t>.</w:t>
      </w:r>
    </w:p>
    <w:p>
      <w:r>
        <w:rPr>
          <w:b w:val="0"/>
          <w:i w:val="0"/>
        </w:rPr>
        <w:t>Concretely: guaranteed stock availability on their repeat lines through the September-November peak, and a named contact. The defensive case is not that the existing base is growing - finding 6 shows it fell by £1,248,022 in year 2 - it is that the base still carries more than four fifths of the revenue while it declines. Retention work here defends a larger number than acquisition work adds, and the at-risk pool in finding 2 is where that decline is already visible.</w:t>
      </w:r>
    </w:p>
    <w:p>
      <w:pPr>
        <w:pStyle w:val="Heading2"/>
      </w:pPr>
      <w:r>
        <w:t>Recommendation 3.  Stop reporting product performance on gross revenue</w:t>
      </w:r>
    </w:p>
    <w:p>
      <w:r>
        <w:rPr>
          <w:b w:val="0"/>
          <w:i/>
        </w:rPr>
        <w:t>From finding 3.</w:t>
      </w:r>
      <w:r>
        <w:rPr>
          <w:b w:val="0"/>
          <w:i w:val="0"/>
        </w:rPr>
        <w:t xml:space="preserve"> 7 of the top ten products change rank once cancellations are netted off, and the gross-rank-4 product is genuinely 4,711th. Every product report should net cancellations against the original sale.</w:t>
      </w:r>
    </w:p>
    <w:p>
      <w:r>
        <w:rPr>
          <w:b w:val="0"/>
          <w:i w:val="0"/>
        </w:rPr>
        <w:t>This is a reporting fix, not a strategy: it costs nothing, and it stops the buying team restocking a line that sold nothing.</w:t>
      </w:r>
    </w:p>
    <w:p>
      <w:pPr>
        <w:pStyle w:val="Heading2"/>
      </w:pPr>
      <w:r>
        <w:t>Recommendation 4.  Treat January as a returns event, and investigate the top returned lines</w:t>
      </w:r>
    </w:p>
    <w:p>
      <w:r>
        <w:rPr>
          <w:b w:val="0"/>
          <w:i/>
        </w:rPr>
        <w:t>From finding 4.</w:t>
      </w:r>
      <w:r>
        <w:rPr>
          <w:b w:val="0"/>
          <w:i w:val="0"/>
        </w:rPr>
        <w:t xml:space="preserve"> The return rate hits </w:t>
      </w:r>
      <w:r>
        <w:rPr>
          <w:b/>
          <w:i w:val="0"/>
        </w:rPr>
        <w:t>13.30% in January 2011</w:t>
      </w:r>
      <w:r>
        <w:rPr>
          <w:b w:val="0"/>
          <w:i w:val="0"/>
        </w:rPr>
        <w:t xml:space="preserve"> against a 3.0% average. Two actions follow: provision warehouse and refund capacity for a post-Christmas spike rather than an even monthly rate, and inspect the concentrated returned lines in section 7.7 for a cause.</w:t>
      </w:r>
    </w:p>
    <w:p>
      <w:r>
        <w:rPr>
          <w:b w:val="0"/>
          <w:i w:val="0"/>
        </w:rPr>
        <w:t xml:space="preserve">The data shows </w:t>
      </w:r>
      <w:r>
        <w:rPr>
          <w:b w:val="0"/>
          <w:i/>
        </w:rPr>
        <w:t>which</w:t>
      </w:r>
      <w:r>
        <w:rPr>
          <w:b w:val="0"/>
          <w:i w:val="0"/>
        </w:rPr>
        <w:t xml:space="preserve"> products come back but never </w:t>
      </w:r>
      <w:r>
        <w:rPr>
          <w:b w:val="0"/>
          <w:i/>
        </w:rPr>
        <w:t>why</w:t>
      </w:r>
      <w:r>
        <w:rPr>
          <w:b w:val="0"/>
          <w:i w:val="0"/>
        </w:rPr>
        <w:t>, so the second action is a question to take to the warehouse, not one to answer from the file.</w:t>
      </w:r>
    </w:p>
    <w:p>
      <w:pPr>
        <w:pStyle w:val="Heading2"/>
      </w:pPr>
      <w:r>
        <w:t>Recommendation 5.  Change what the Christmas peak is expected to deliver</w:t>
      </w:r>
    </w:p>
    <w:p>
      <w:r>
        <w:rPr>
          <w:b w:val="0"/>
          <w:i/>
        </w:rPr>
        <w:t>From finding 7.</w:t>
      </w:r>
      <w:r>
        <w:rPr>
          <w:b w:val="0"/>
          <w:i w:val="0"/>
        </w:rPr>
        <w:t xml:space="preserve"> Customers acquired in November and December retain at </w:t>
      </w:r>
      <w:r>
        <w:rPr>
          <w:b/>
          <w:i w:val="0"/>
        </w:rPr>
        <w:t>9.3% by month 3 versus 22.3%</w:t>
      </w:r>
      <w:r>
        <w:rPr>
          <w:b w:val="0"/>
          <w:i w:val="0"/>
        </w:rPr>
        <w:t xml:space="preserve"> otherwise - on 2 peak cohorts totalling 402 customers from a single Christmas, whose month 3 falls in the calendar trough.</w:t>
      </w:r>
    </w:p>
    <w:p>
      <w:r>
        <w:rPr>
          <w:b w:val="0"/>
          <w:i w:val="0"/>
        </w:rPr>
        <w:t xml:space="preserve">That evidence supports a </w:t>
      </w:r>
      <w:r>
        <w:rPr>
          <w:b/>
          <w:i w:val="0"/>
        </w:rPr>
        <w:t>test</w:t>
      </w:r>
      <w:r>
        <w:rPr>
          <w:b w:val="0"/>
          <w:i w:val="0"/>
        </w:rPr>
        <w:t>, not a reallocation of budget. Tag peak-acquired customers on arrival and measure their month-3 reorder rate against an off-peak control over the coming season; if the gap survives a second Christmas with the seasonal effect controlled for, then move acquisition spend out of the peak.</w:t>
      </w:r>
    </w:p>
    <w:p>
      <w:r>
        <w:rPr>
          <w:b w:val="0"/>
          <w:i w:val="0"/>
        </w:rPr>
        <w:t>The half of this that is safe now costs nothing: stop counting peak-acquired customers as new relationships in any target that assumes they behave like the rest of the base, and run the peak as a volume and cash-generation event.</w:t>
      </w:r>
    </w:p>
    <w:p>
      <w:pPr>
        <w:pStyle w:val="Heading2"/>
      </w:pPr>
      <w:r>
        <w:t>Recommendation 6.  Test the export markets deliberately</w:t>
      </w:r>
    </w:p>
    <w:p>
      <w:r>
        <w:rPr>
          <w:b w:val="0"/>
          <w:i/>
        </w:rPr>
        <w:t>From finding 5.</w:t>
      </w:r>
      <w:r>
        <w:rPr>
          <w:b w:val="0"/>
          <w:i w:val="0"/>
        </w:rPr>
        <w:t xml:space="preserve"> Netherlands averages </w:t>
      </w:r>
      <w:r>
        <w:rPr>
          <w:b/>
          <w:i w:val="0"/>
        </w:rPr>
        <w:t>£2,484.46 per order - 5.1x the UK's £483.27</w:t>
      </w:r>
      <w:r>
        <w:rPr>
          <w:b w:val="0"/>
          <w:i w:val="0"/>
        </w:rPr>
        <w:t>. That is a striking ratio on a small base, and a small base is exactly why it must be tested rather than acted on: with £3.00M of export revenue against £17.51M domestic, a handful of large wholesale accounts could produce the entire effect.</w:t>
      </w:r>
    </w:p>
    <w:p>
      <w:r>
        <w:rPr>
          <w:b w:val="0"/>
          <w:i w:val="0"/>
        </w:rPr>
        <w:t>The recommendation is a bounded test on the highest-AOV markets with a defined budget, not a market-entry decision. The data supports the hypothesis; it does not support the investment.</w:t>
      </w:r>
    </w:p>
    <w:p>
      <w:pPr>
        <w:pStyle w:val="Heading2"/>
      </w:pPr>
      <w:r>
        <w:t>Recommendation 7.  Fix the 14.6% attribution gap at source</w:t>
      </w:r>
    </w:p>
    <w:p>
      <w:r>
        <w:rPr>
          <w:b w:val="0"/>
          <w:i/>
        </w:rPr>
        <w:t>From the limitations.</w:t>
      </w:r>
      <w:r>
        <w:rPr>
          <w:b w:val="0"/>
          <w:i w:val="0"/>
        </w:rPr>
        <w:t xml:space="preserve"> </w:t>
      </w:r>
      <w:r>
        <w:rPr>
          <w:b/>
          <w:i w:val="0"/>
        </w:rPr>
        <w:t>£2,989,403 of clean revenue - 14.6% of the total, spread over 22.9% of all sales lines - has no customer ID</w:t>
      </w:r>
      <w:r>
        <w:rPr>
          <w:b w:val="0"/>
          <w:i w:val="0"/>
        </w:rPr>
        <w:t>, so it is invisible to every model here. No amount of analysis recovers it: it is a checkout-and-CRM change, and it raises the ceiling on all future customer work.</w:t>
      </w:r>
    </w:p>
    <w:p>
      <w:pPr>
        <w:pStyle w:val="Heading2"/>
      </w:pPr>
      <w:r>
        <w:t>What this analysis does not support</w:t>
      </w:r>
    </w:p>
    <w:p>
      <w:pPr>
        <w:pStyle w:val="ListBullet"/>
        <w:spacing w:after="60"/>
      </w:pPr>
      <w:r>
        <w:rPr>
          <w:b/>
          <w:i w:val="0"/>
        </w:rPr>
        <w:t>Any pricing or product-mix decision.</w:t>
      </w:r>
      <w:r>
        <w:rPr>
          <w:b w:val="0"/>
          <w:i w:val="0"/>
        </w:rPr>
        <w:t xml:space="preserve"> The dataset has no cost of goods, so every figure here is revenue, not margin.</w:t>
      </w:r>
    </w:p>
    <w:p>
      <w:pPr>
        <w:pStyle w:val="ListBullet"/>
        <w:spacing w:after="60"/>
      </w:pPr>
      <w:r>
        <w:rPr>
          <w:b/>
          <w:i w:val="0"/>
        </w:rPr>
        <w:t xml:space="preserve">Any claim that a campaign </w:t>
      </w:r>
      <w:r>
        <w:rPr>
          <w:b/>
          <w:i/>
        </w:rPr>
        <w:t>causes</w:t>
      </w:r>
      <w:r>
        <w:rPr>
          <w:b/>
          <w:i w:val="0"/>
        </w:rPr>
        <w:t xml:space="preserve"> a customer to return.</w:t>
      </w:r>
      <w:r>
        <w:rPr>
          <w:b w:val="0"/>
          <w:i w:val="0"/>
        </w:rPr>
        <w:t xml:space="preserve"> There is no campaign data and no experiment in this file. That is why recommendation 1 specifies a control group.</w:t>
      </w:r>
    </w:p>
    <w:p>
      <w:pPr>
        <w:pStyle w:val="ListBullet"/>
        <w:spacing w:after="60"/>
      </w:pPr>
      <w:r>
        <w:rPr>
          <w:b/>
          <w:i w:val="0"/>
        </w:rPr>
        <w:t>Any conclusion about when customers prefer to shop</w:t>
      </w:r>
      <w:r>
        <w:rPr>
          <w:b w:val="0"/>
          <w:i w:val="0"/>
        </w:rPr>
        <w:t xml:space="preserve"> - see finding 9.</w:t>
      </w:r>
    </w:p>
    <w:p>
      <w:pPr>
        <w:pStyle w:val="ListBullet"/>
        <w:spacing w:after="60"/>
      </w:pPr>
      <w:r>
        <w:rPr>
          <w:b/>
          <w:i w:val="0"/>
        </w:rPr>
        <w:t>Using the 12-month CLV projection as a forecast.</w:t>
      </w:r>
      <w:r>
        <w:rPr>
          <w:b w:val="0"/>
          <w:i w:val="0"/>
        </w:rPr>
        <w:t xml:space="preserve"> It sums to 2.91x actual second-year revenue (section 10.1). Summed across the base it is an upper bound, nothing more; for one accelerating account it can equally be too low.</w:t>
      </w:r>
    </w:p>
    <w:p>
      <w:r>
        <w:br w:type="page"/>
      </w:r>
    </w:p>
    <w:p>
      <w:pPr>
        <w:pStyle w:val="Heading1"/>
      </w:pPr>
      <w:r>
        <w:t>14.  Limitations</w:t>
      </w:r>
    </w:p>
    <w:p>
      <w:r>
        <w:rPr>
          <w:b w:val="0"/>
          <w:i/>
          <w:color w:val="4A4A48"/>
          <w:sz w:val="20"/>
        </w:rPr>
        <w:t>Stating what this analysis cannot support is part of the analysis.</w:t>
      </w:r>
    </w:p>
    <w:p>
      <w:pPr>
        <w:spacing w:after="100"/>
        <w:ind w:left="425" w:hanging="425"/>
      </w:pPr>
      <w:r>
        <w:rPr>
          <w:b/>
          <w:i w:val="0"/>
        </w:rPr>
        <w:t>1.</w:t>
      </w:r>
      <w:r>
        <w:rPr>
          <w:b w:val="0"/>
          <w:i w:val="0"/>
        </w:rPr>
        <w:t xml:space="preserve"> </w:t>
      </w:r>
      <w:r>
        <w:rPr>
          <w:b/>
          <w:i w:val="0"/>
        </w:rPr>
        <w:t>Attribution gap.</w:t>
      </w:r>
      <w:r>
        <w:rPr>
          <w:b w:val="0"/>
          <w:i w:val="0"/>
        </w:rPr>
        <w:t xml:space="preserve"> 22.9% of clean sales lines (235,813), carrying 14.6% of clean revenue (£2,989,403), have no customer ID - both shares measured on the same cleaned base. Every customer-level result is computed on the identified 85.4% of revenue only. If guest orders are disproportionately one-off purchases, the true repeat rate is lower than reported here; if they are unrecognised repeat buyers, several segments are undercounted. The data cannot distinguish the two cases.</w:t>
      </w:r>
    </w:p>
    <w:p>
      <w:pPr>
        <w:spacing w:after="100"/>
        <w:ind w:left="425" w:hanging="425"/>
      </w:pPr>
      <w:r>
        <w:rPr>
          <w:b/>
          <w:i w:val="0"/>
        </w:rPr>
        <w:t>2.</w:t>
      </w:r>
      <w:r>
        <w:rPr>
          <w:b w:val="0"/>
          <w:i w:val="0"/>
        </w:rPr>
        <w:t xml:space="preserve"> </w:t>
      </w:r>
      <w:r>
        <w:rPr>
          <w:b/>
          <w:i w:val="0"/>
        </w:rPr>
        <w:t>Revenue, not profit.</w:t>
      </w:r>
      <w:r>
        <w:rPr>
          <w:b w:val="0"/>
          <w:i w:val="0"/>
        </w:rPr>
        <w:t xml:space="preserve"> The dataset has no cost of goods. A low-margin bestseller and a high-margin niche line are indistinguishable in this analysis, so no pricing or product-mix decision should rest on it alone.</w:t>
      </w:r>
    </w:p>
    <w:p>
      <w:pPr>
        <w:spacing w:after="100"/>
        <w:ind w:left="425" w:hanging="425"/>
      </w:pPr>
      <w:r>
        <w:rPr>
          <w:b/>
          <w:i w:val="0"/>
        </w:rPr>
        <w:t>3.</w:t>
      </w:r>
      <w:r>
        <w:rPr>
          <w:b w:val="0"/>
          <w:i w:val="0"/>
        </w:rPr>
        <w:t xml:space="preserve"> </w:t>
      </w:r>
      <w:r>
        <w:rPr>
          <w:b/>
          <w:i w:val="0"/>
        </w:rPr>
        <w:t>The CLV projection is demonstrably biased upward, and section 10.1 shows by how much.</w:t>
      </w:r>
      <w:r>
        <w:rPr>
          <w:b w:val="0"/>
          <w:i w:val="0"/>
        </w:rPr>
        <w:t xml:space="preserve"> Summed across the base it is 2.91x actual second-year revenue, and it ranks a dormant segment above Champions. It carries no churn probability, so it should be read as an aggregate upper bound - the constant-rate assumption is optimistic for a dormant account and conservative for an accelerating one, so it is not a ceiling on any single customer. BG/NBD plus a Gamma-Gamma spend model is the correct fix and is not done here; prioritisation in section 13 therefore rests on historical value.</w:t>
      </w:r>
    </w:p>
    <w:p>
      <w:pPr>
        <w:spacing w:after="100"/>
        <w:ind w:left="425" w:hanging="425"/>
      </w:pPr>
      <w:r>
        <w:rPr>
          <w:b/>
          <w:i w:val="0"/>
        </w:rPr>
        <w:t>4.</w:t>
      </w:r>
      <w:r>
        <w:rPr>
          <w:b w:val="0"/>
          <w:i w:val="0"/>
        </w:rPr>
        <w:t xml:space="preserve"> </w:t>
      </w:r>
      <w:r>
        <w:rPr>
          <w:b/>
          <w:i w:val="0"/>
        </w:rPr>
        <w:t>Censoring at both ends of the cohort matrix.</w:t>
      </w:r>
      <w:r>
        <w:rPr>
          <w:b w:val="0"/>
          <w:i w:val="0"/>
        </w:rPr>
        <w:t xml:space="preserve"> Cohorts acquired late in the window have not had time to show a retention curve, so blank cells on the right mean </w:t>
      </w:r>
      <w:r>
        <w:rPr>
          <w:b w:val="0"/>
          <w:i/>
        </w:rPr>
        <w:t>not yet observable</w:t>
      </w:r>
      <w:r>
        <w:rPr>
          <w:b w:val="0"/>
          <w:i w:val="0"/>
        </w:rPr>
        <w:t>, not zero. At the other end, the first cohort is left-censored: customers who predate the log appear as newly acquired in December 2009. Section 11.1 quantifies that bias and reports corrected figures.</w:t>
      </w:r>
    </w:p>
    <w:p>
      <w:pPr>
        <w:spacing w:after="100"/>
        <w:ind w:left="425" w:hanging="425"/>
      </w:pPr>
      <w:r>
        <w:rPr>
          <w:b/>
          <w:i w:val="0"/>
        </w:rPr>
        <w:t>5.</w:t>
      </w:r>
      <w:r>
        <w:rPr>
          <w:b w:val="0"/>
          <w:i w:val="0"/>
        </w:rPr>
        <w:t xml:space="preserve"> </w:t>
      </w:r>
      <w:r>
        <w:rPr>
          <w:rFonts w:ascii="Consolas" w:hAnsi="Consolas"/>
          <w:b/>
          <w:i w:val="0"/>
          <w:sz w:val="19"/>
        </w:rPr>
        <w:t>InvoiceDate</w:t>
      </w:r>
      <w:r>
        <w:rPr>
          <w:b/>
          <w:i w:val="0"/>
        </w:rPr>
        <w:t xml:space="preserve"> records processing, not intent.</w:t>
      </w:r>
      <w:r>
        <w:rPr>
          <w:b w:val="0"/>
          <w:i w:val="0"/>
        </w:rPr>
        <w:t xml:space="preserve"> All 30 Saturday orders in the 25-month window fall on one date, so the timestamp reflects back-office keying rather than customer behaviour. No conclusion about </w:t>
      </w:r>
      <w:r>
        <w:rPr>
          <w:b w:val="0"/>
          <w:i/>
        </w:rPr>
        <w:t>when customers want to shop</w:t>
      </w:r>
      <w:r>
        <w:rPr>
          <w:b w:val="0"/>
          <w:i w:val="0"/>
        </w:rPr>
        <w:t xml:space="preserve"> can be drawn from the hour and weekday columns.</w:t>
      </w:r>
    </w:p>
    <w:p>
      <w:pPr>
        <w:spacing w:after="100"/>
        <w:ind w:left="425" w:hanging="425"/>
      </w:pPr>
      <w:r>
        <w:rPr>
          <w:b/>
          <w:i w:val="0"/>
        </w:rPr>
        <w:t>6.</w:t>
      </w:r>
      <w:r>
        <w:rPr>
          <w:b w:val="0"/>
          <w:i w:val="0"/>
        </w:rPr>
        <w:t xml:space="preserve"> </w:t>
      </w:r>
      <w:r>
        <w:rPr>
          <w:b/>
          <w:i w:val="0"/>
        </w:rPr>
        <w:t>Quintile scoring is relative.</w:t>
      </w:r>
      <w:r>
        <w:rPr>
          <w:b w:val="0"/>
          <w:i w:val="0"/>
        </w:rPr>
        <w:t xml:space="preserve"> An RFM score of 5 means “top fifth of this base”, not “good” in absolute terms. Scores are not comparable across a different customer base or a different time window.</w:t>
      </w:r>
    </w:p>
    <w:p>
      <w:pPr>
        <w:spacing w:after="100"/>
        <w:ind w:left="425" w:hanging="425"/>
      </w:pPr>
      <w:r>
        <w:rPr>
          <w:b/>
          <w:i w:val="0"/>
        </w:rPr>
        <w:t>7.</w:t>
      </w:r>
      <w:r>
        <w:rPr>
          <w:b w:val="0"/>
          <w:i w:val="0"/>
        </w:rPr>
        <w:t xml:space="preserve"> </w:t>
      </w:r>
      <w:r>
        <w:rPr>
          <w:b/>
          <w:i w:val="0"/>
        </w:rPr>
        <w:t>k = 4 is a judgement call.</w:t>
      </w:r>
      <w:r>
        <w:rPr>
          <w:b w:val="0"/>
          <w:i w:val="0"/>
        </w:rPr>
        <w:t xml:space="preserve"> The silhouette metric preferred k = 2. Four clusters were chosen for operational interpretability, and the metric cost of that choice is reported in section 9.1 rather than hidden.</w:t>
      </w:r>
    </w:p>
    <w:p>
      <w:pPr>
        <w:spacing w:after="100"/>
        <w:ind w:left="425" w:hanging="425"/>
      </w:pPr>
      <w:r>
        <w:rPr>
          <w:b/>
          <w:i w:val="0"/>
        </w:rPr>
        <w:t>8.</w:t>
      </w:r>
      <w:r>
        <w:rPr>
          <w:b w:val="0"/>
          <w:i w:val="0"/>
        </w:rPr>
        <w:t xml:space="preserve"> </w:t>
      </w:r>
      <w:r>
        <w:rPr>
          <w:b/>
          <w:i w:val="0"/>
        </w:rPr>
        <w:t>One retailer, one category, 2009-2011.</w:t>
      </w:r>
      <w:r>
        <w:rPr>
          <w:b w:val="0"/>
          <w:i w:val="0"/>
        </w:rPr>
        <w:t xml:space="preserve"> A UK giftware wholesaler in the post-financial-crisis period. The method transfers; these coefficients do not.</w:t>
      </w:r>
    </w:p>
    <w:p>
      <w:pPr>
        <w:spacing w:after="100"/>
        <w:ind w:left="425" w:hanging="425"/>
      </w:pPr>
      <w:r>
        <w:rPr>
          <w:b/>
          <w:i w:val="0"/>
        </w:rPr>
        <w:t>9.</w:t>
      </w:r>
      <w:r>
        <w:rPr>
          <w:b w:val="0"/>
          <w:i w:val="0"/>
        </w:rPr>
        <w:t xml:space="preserve"> </w:t>
      </w:r>
      <w:r>
        <w:rPr>
          <w:b/>
          <w:i w:val="0"/>
        </w:rPr>
        <w:t>Segments are descriptive, not causal.</w:t>
      </w:r>
      <w:r>
        <w:rPr>
          <w:b w:val="0"/>
          <w:i w:val="0"/>
        </w:rPr>
        <w:t xml:space="preserve"> Nothing here establishes that a campaign </w:t>
      </w:r>
      <w:r>
        <w:rPr>
          <w:b w:val="0"/>
          <w:i/>
        </w:rPr>
        <w:t>causes</w:t>
      </w:r>
      <w:r>
        <w:rPr>
          <w:b w:val="0"/>
          <w:i w:val="0"/>
        </w:rPr>
        <w:t xml:space="preserve"> a customer to return. A holdout test would be needed to claim that, and this dataset contains no campaign data.</w:t>
      </w:r>
    </w:p>
    <w:p>
      <w:pPr>
        <w:spacing w:after="100"/>
        <w:ind w:left="425" w:hanging="425"/>
      </w:pPr>
      <w:r>
        <w:rPr>
          <w:b/>
          <w:i w:val="0"/>
        </w:rPr>
        <w:t>10.</w:t>
      </w:r>
      <w:r>
        <w:rPr>
          <w:b w:val="0"/>
          <w:i w:val="0"/>
        </w:rPr>
        <w:t xml:space="preserve"> </w:t>
      </w:r>
      <w:r>
        <w:rPr>
          <w:b/>
          <w:i w:val="0"/>
        </w:rPr>
        <w:t>The Christmas retention gap rests on one season.</w:t>
      </w:r>
      <w:r>
        <w:rPr>
          <w:b w:val="0"/>
          <w:i w:val="0"/>
        </w:rPr>
        <w:t xml:space="preserve"> Excluding the left-censored December 2009 row also removes the only other December in the file, so the peak side of the 9.3%-versus-22.3% comparison is 2 cohorts (2010-11, 2010-12), 402 customers, 38 of whom reordered at month 3. Their month 3 falls in 2011-02, 2011-03, the February-March trough, so seasonal demand and customer quality are confounded and this data cannot separate them. Finding 7 is a hypothesis to test; recommendation 5 is written as a test rather than a decision.</w:t>
      </w:r>
    </w:p>
    <w:p>
      <w:pPr>
        <w:spacing w:after="100"/>
        <w:ind w:left="425" w:hanging="425"/>
      </w:pPr>
      <w:r>
        <w:rPr>
          <w:b/>
          <w:i w:val="0"/>
        </w:rPr>
        <w:t>11.</w:t>
      </w:r>
      <w:r>
        <w:rPr>
          <w:b w:val="0"/>
          <w:i w:val="0"/>
        </w:rPr>
        <w:t xml:space="preserve"> </w:t>
      </w:r>
      <w:r>
        <w:rPr>
          <w:b/>
          <w:i w:val="0"/>
        </w:rPr>
        <w:t>The return rate depends on which credit notes count as returns.</w:t>
      </w:r>
      <w:r>
        <w:rPr>
          <w:b w:val="0"/>
          <w:i w:val="0"/>
        </w:rPr>
        <w:t xml:space="preserve"> The 3.60% figure counts customer returns of products and carriage only, so that its numerator and the gross-revenue denominator describe the same population. Including the administrative reversals - manual adjustments, Amazon fees, bank charges, discounts, samples - would give 7.43% on £1,523,788, but those stock codes are removed from the revenue base by cleaning step 7 and are not customers sending goods back. Both numbers appear in section 7.7; neither is the single true rate without saying which question is being asked.</w:t>
      </w:r>
    </w:p>
    <w:p>
      <w:r>
        <w:br w:type="page"/>
      </w:r>
    </w:p>
    <w:p>
      <w:pPr>
        <w:pStyle w:val="Heading1"/>
      </w:pPr>
      <w:r>
        <w:t>15.  Conclusion</w:t>
      </w:r>
    </w:p>
    <w:p>
      <w:r>
        <w:rPr>
          <w:b w:val="0"/>
          <w:i w:val="0"/>
        </w:rPr>
        <w:t>The project set out to turn a flat transaction log into a picture of a customer base, and the picture is sharper than the aggregate figures suggest. £20,517,554 of revenue and 5,854 identified customers resolve into a business that depends on a few hundred accounts: 1,170 customers carry 77.2% of identified revenue, 1,555 Champions carry 71.5%, and 82.7% of second-year revenue came from customers who were already there - a base that nonetheless spent £1,248,022 less than it had the year before.</w:t>
      </w:r>
    </w:p>
    <w:p>
      <w:r>
        <w:rPr>
          <w:b w:val="0"/>
          <w:i w:val="0"/>
        </w:rPr>
        <w:t>That structure was recovered twice: by an explicit RFM rule ladder and by an unsupervised K-Means clustering that was given no rules at all. The two are not independent in the strong sense - both read the same three features off the same rows - but they draw their boundaries in completely different ways, so their agreement (80.5% of customers in their own segment's modal cluster, every segment above 60%) is good evidence that the segmentation follows the data rather than the thresholds the analyst picked.</w:t>
      </w:r>
    </w:p>
    <w:p>
      <w:r>
        <w:rPr>
          <w:b w:val="0"/>
          <w:i w:val="0"/>
        </w:rPr>
        <w:t xml:space="preserve">The most useful output is not the segmentation itself but the list it produces: </w:t>
      </w:r>
      <w:r>
        <w:rPr>
          <w:b/>
          <w:i w:val="0"/>
        </w:rPr>
        <w:t>683 named accounts, worth £1,689,620 of proven historical spend, that have stopped ordering.</w:t>
      </w:r>
      <w:r>
        <w:rPr>
          <w:b w:val="0"/>
          <w:i w:val="0"/>
        </w:rPr>
        <w:t xml:space="preserve"> That is a finite, addressable list rather than a strategy slide, and it comes with a measurement design attached - a 20% untreated control group - because without one the result would be unreadable.</w:t>
      </w:r>
    </w:p>
    <w:p>
      <w:r>
        <w:rPr>
          <w:b w:val="0"/>
          <w:i w:val="0"/>
        </w:rPr>
        <w:t>Three of the results in this report contradict what a first pass at this dataset would have produced. The largest sale in the file was a cancellation, so gross product rankings are wrong at the top. The Christmas peak generates the retailer's worst-retaining customers, so peak acquisition should not be counted like any other. And the invoice timestamp records office hours rather than customer behaviour, so an entire class of “when to advertise” conclusions is unavailable. Each was found by checking a claim against the data rather than accepting a plausible number - which, more than any individual figure here, is what the project was for.</w:t>
      </w:r>
    </w:p>
    <w:p>
      <w:r>
        <w:br w:type="page"/>
      </w:r>
    </w:p>
    <w:p>
      <w:pPr>
        <w:pStyle w:val="Heading1"/>
      </w:pPr>
      <w:r>
        <w:t>16.  How to reproduce this project</w:t>
      </w:r>
    </w:p>
    <w:p>
      <w:r>
        <w:rPr>
          <w:b w:val="0"/>
          <w:i w:val="0"/>
        </w:rPr>
        <w:t xml:space="preserve">From a clone of the repository. The analysis was developed and run on </w:t>
      </w:r>
      <w:r>
        <w:rPr>
          <w:b/>
          <w:i w:val="0"/>
        </w:rPr>
        <w:t>Python 3.14.6</w:t>
      </w:r>
      <w:r>
        <w:rPr>
          <w:b w:val="0"/>
          <w:i w:val="0"/>
        </w:rPr>
        <w:t xml:space="preserve"> under Windows 11; the bounds in </w:t>
      </w:r>
      <w:r>
        <w:rPr>
          <w:rFonts w:ascii="Consolas" w:hAnsi="Consolas"/>
          <w:b w:val="0"/>
          <w:i w:val="0"/>
          <w:sz w:val="19"/>
        </w:rPr>
        <w:t>requirements.txt</w:t>
      </w:r>
      <w:r>
        <w:rPr>
          <w:b w:val="0"/>
          <w:i w:val="0"/>
        </w:rPr>
        <w:t xml:space="preserve"> are the oldest releases whose APIs the code uses, but no other version was exercised:</w:t>
      </w:r>
    </w:p>
    <w:p>
      <w:pPr>
        <w:pStyle w:val="ListBullet"/>
        <w:spacing w:after="60"/>
      </w:pPr>
      <w:r>
        <w:rPr>
          <w:rFonts w:ascii="Consolas" w:hAnsi="Consolas"/>
          <w:b w:val="0"/>
          <w:i w:val="0"/>
          <w:sz w:val="19"/>
        </w:rPr>
        <w:t>python -m venv .venv</w:t>
      </w:r>
      <w:r>
        <w:rPr>
          <w:b w:val="0"/>
          <w:i w:val="0"/>
        </w:rPr>
        <w:t xml:space="preserve"> and activate it, then </w:t>
      </w:r>
      <w:r>
        <w:rPr>
          <w:rFonts w:ascii="Consolas" w:hAnsi="Consolas"/>
          <w:b w:val="0"/>
          <w:i w:val="0"/>
          <w:sz w:val="19"/>
        </w:rPr>
        <w:t>pip install -r requirements.txt</w:t>
      </w:r>
    </w:p>
    <w:p>
      <w:pPr>
        <w:pStyle w:val="ListBullet"/>
        <w:spacing w:after="60"/>
      </w:pPr>
      <w:r>
        <w:rPr>
          <w:rFonts w:ascii="Consolas" w:hAnsi="Consolas"/>
          <w:b w:val="0"/>
          <w:i w:val="0"/>
          <w:sz w:val="19"/>
        </w:rPr>
        <w:t>jupyter notebook AryanVerma_RetailCustomerSegmentationAnalysis.ipynb</w:t>
      </w:r>
    </w:p>
    <w:p>
      <w:pPr>
        <w:pStyle w:val="ListBullet"/>
        <w:spacing w:after="60"/>
      </w:pPr>
      <w:r>
        <w:rPr>
          <w:b w:val="0"/>
          <w:i/>
        </w:rPr>
        <w:t>Kernel &gt; Restart Kernel and Run All Cells</w:t>
      </w:r>
      <w:r>
        <w:rPr>
          <w:b w:val="0"/>
          <w:i w:val="0"/>
        </w:rPr>
        <w:t xml:space="preserve">. The first run downloads the 45.6 MB source workbook from UCI into </w:t>
      </w:r>
      <w:r>
        <w:rPr>
          <w:rFonts w:ascii="Consolas" w:hAnsi="Consolas"/>
          <w:b w:val="0"/>
          <w:i w:val="0"/>
          <w:sz w:val="19"/>
        </w:rPr>
        <w:t>data/raw/</w:t>
      </w:r>
      <w:r>
        <w:rPr>
          <w:b w:val="0"/>
          <w:i w:val="0"/>
        </w:rPr>
        <w:t xml:space="preserve"> and caches both sheets as a CSV; later runs read the cache. Measured on the development machine, the first run takes </w:t>
      </w:r>
      <w:r>
        <w:rPr>
          <w:b/>
          <w:i w:val="0"/>
        </w:rPr>
        <w:t>1 min 28 s</w:t>
      </w:r>
      <w:r>
        <w:rPr>
          <w:b w:val="0"/>
          <w:i w:val="0"/>
        </w:rPr>
        <w:t xml:space="preserve"> and later runs </w:t>
      </w:r>
      <w:r>
        <w:rPr>
          <w:b/>
          <w:i w:val="0"/>
        </w:rPr>
        <w:t>33 s</w:t>
      </w:r>
      <w:r>
        <w:rPr>
          <w:b w:val="0"/>
          <w:i w:val="0"/>
        </w:rPr>
        <w:t>, excluding the download - UCI's throughput varies from about 30 seconds to several minutes.</w:t>
      </w:r>
    </w:p>
    <w:p>
      <w:pPr>
        <w:pStyle w:val="ListBullet"/>
        <w:spacing w:after="60"/>
      </w:pPr>
      <w:r>
        <w:rPr>
          <w:rFonts w:ascii="Consolas" w:hAnsi="Consolas"/>
          <w:b w:val="0"/>
          <w:i w:val="0"/>
          <w:sz w:val="19"/>
        </w:rPr>
        <w:t>python tools/build_report.py</w:t>
      </w:r>
      <w:r>
        <w:rPr>
          <w:b w:val="0"/>
          <w:i w:val="0"/>
        </w:rPr>
        <w:t xml:space="preserve"> regenerates this document from the notebook's outputs.</w:t>
      </w:r>
    </w:p>
    <w:p>
      <w:r>
        <w:rPr>
          <w:b w:val="0"/>
          <w:i w:val="0"/>
        </w:rPr>
        <w:t xml:space="preserve">The notebook writes 14 PNG figures to </w:t>
      </w:r>
      <w:r>
        <w:rPr>
          <w:rFonts w:ascii="Consolas" w:hAnsi="Consolas"/>
          <w:b w:val="0"/>
          <w:i w:val="0"/>
          <w:sz w:val="19"/>
        </w:rPr>
        <w:t>outputs/figures/</w:t>
      </w:r>
      <w:r>
        <w:rPr>
          <w:b w:val="0"/>
          <w:i w:val="0"/>
        </w:rPr>
        <w:t xml:space="preserve"> and every computed number to </w:t>
      </w:r>
      <w:r>
        <w:rPr>
          <w:rFonts w:ascii="Consolas" w:hAnsi="Consolas"/>
          <w:b w:val="0"/>
          <w:i w:val="0"/>
          <w:sz w:val="19"/>
        </w:rPr>
        <w:t>outputs/facts.json</w:t>
      </w:r>
      <w:r>
        <w:rPr>
          <w:b w:val="0"/>
          <w:i w:val="0"/>
        </w:rPr>
        <w:t xml:space="preserve"> (236 facts plus the segment, cluster, cohort and product tables). This report reads only those two locations, so the document and the analysis cannot disagree.</w:t>
      </w:r>
    </w:p>
    <w:p>
      <w:r>
        <w:rPr>
          <w:b w:val="0"/>
          <w:i w:val="0"/>
        </w:rPr>
        <w:t>The source workbook is never modified, and it is not committed to the repository: it is a large binary that the notebook can fetch reproducibly from the publisher.</w:t>
      </w:r>
    </w:p>
    <w:p>
      <w:pPr>
        <w:pStyle w:val="Heading1"/>
      </w:pPr>
      <w:r>
        <w:t>17.  References</w:t>
      </w:r>
    </w:p>
    <w:p>
      <w:pPr>
        <w:pStyle w:val="ListBullet"/>
        <w:spacing w:after="60"/>
      </w:pPr>
      <w:r>
        <w:rPr>
          <w:b w:val="0"/>
          <w:i w:val="0"/>
        </w:rPr>
        <w:t xml:space="preserve">Chen, D. (2019). </w:t>
      </w:r>
      <w:r>
        <w:rPr>
          <w:b w:val="0"/>
          <w:i/>
        </w:rPr>
        <w:t>Online Retail II</w:t>
      </w:r>
      <w:r>
        <w:rPr>
          <w:b w:val="0"/>
          <w:i w:val="0"/>
        </w:rPr>
        <w:t xml:space="preserve"> [Data set]. UCI Machine Learning Repository. https://archive.ics.uci.edu/dataset/502/online+retail+ii (CC BY 4.0).</w:t>
      </w:r>
    </w:p>
    <w:p>
      <w:pPr>
        <w:pStyle w:val="ListBullet"/>
        <w:spacing w:after="60"/>
      </w:pPr>
      <w:r>
        <w:rPr>
          <w:b w:val="0"/>
          <w:i w:val="0"/>
        </w:rPr>
        <w:t xml:space="preserve">Hughes, A. M. (1994). </w:t>
      </w:r>
      <w:r>
        <w:rPr>
          <w:b w:val="0"/>
          <w:i/>
        </w:rPr>
        <w:t>Strategic Database Marketing</w:t>
      </w:r>
      <w:r>
        <w:rPr>
          <w:b w:val="0"/>
          <w:i w:val="0"/>
        </w:rPr>
        <w:t>. Probus Publishing - the origin of RFM scoring.</w:t>
      </w:r>
    </w:p>
    <w:p>
      <w:pPr>
        <w:pStyle w:val="ListBullet"/>
        <w:spacing w:after="60"/>
      </w:pPr>
      <w:r>
        <w:rPr>
          <w:b w:val="0"/>
          <w:i w:val="0"/>
        </w:rPr>
        <w:t xml:space="preserve">Fader, P. S., Hardie, B. G. S., &amp; Lee, K. L. (2005). “RFM and CLV: Using iso-value curves for customer base analysis.” </w:t>
      </w:r>
      <w:r>
        <w:rPr>
          <w:b w:val="0"/>
          <w:i/>
        </w:rPr>
        <w:t>Journal of Marketing Research</w:t>
      </w:r>
      <w:r>
        <w:rPr>
          <w:b w:val="0"/>
          <w:i w:val="0"/>
        </w:rPr>
        <w:t>, 42(4), 415-430.</w:t>
      </w:r>
    </w:p>
    <w:p>
      <w:pPr>
        <w:pStyle w:val="ListBullet"/>
        <w:spacing w:after="60"/>
      </w:pPr>
      <w:r>
        <w:rPr>
          <w:b w:val="0"/>
          <w:i w:val="0"/>
        </w:rPr>
        <w:t xml:space="preserve">Rousseeuw, P. J. (1987). “Silhouettes: a graphical aid to the interpretation and validation of cluster analysis.” </w:t>
      </w:r>
      <w:r>
        <w:rPr>
          <w:b w:val="0"/>
          <w:i/>
        </w:rPr>
        <w:t>Journal of Computational and Applied Mathematics</w:t>
      </w:r>
      <w:r>
        <w:rPr>
          <w:b w:val="0"/>
          <w:i w:val="0"/>
        </w:rPr>
        <w:t>, 20, 53-65.</w:t>
      </w:r>
    </w:p>
    <w:p>
      <w:pPr>
        <w:pStyle w:val="ListBullet"/>
        <w:spacing w:after="60"/>
      </w:pPr>
      <w:r>
        <w:rPr>
          <w:b w:val="0"/>
          <w:i w:val="0"/>
        </w:rPr>
        <w:t xml:space="preserve">Pedregosa, F. et al. (2011). “Scikit-learn: Machine learning in Python.” </w:t>
      </w:r>
      <w:r>
        <w:rPr>
          <w:b w:val="0"/>
          <w:i/>
        </w:rPr>
        <w:t>Journal of Machine Learning Research</w:t>
      </w:r>
      <w:r>
        <w:rPr>
          <w:b w:val="0"/>
          <w:i w:val="0"/>
        </w:rPr>
        <w:t>, 12, 2825-2830.</w:t>
      </w:r>
    </w:p>
    <w:p>
      <w:pPr>
        <w:pStyle w:val="ListBullet"/>
        <w:spacing w:after="60"/>
      </w:pPr>
      <w:r>
        <w:rPr>
          <w:b w:val="0"/>
          <w:i w:val="0"/>
        </w:rPr>
        <w:t>Project repository: https://github.com/BU1lDR/IBM-BharatCares---Internship-CAPSTONE-PROJECT-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6F"/>
        <w:sz w:val="16"/>
      </w:rPr>
      <w:t xml:space="preserve">Aryan Verma  |  Retail Customer Segmentation &amp; Sales Analysis  |  Page </w:t>
    </w:r>
    <w:fldSimple w:instr="PAGE">
      <w:r>
        <w:t>1</w:t>
      </w:r>
    </w:fldSimple>
    <w:r>
      <w:rPr>
        <w:color w:val="77776F"/>
        <w:sz w:val="16"/>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64A8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64A86"/>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B0B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Calibri" w:hAnsi="Calibri"/>
      <w:b/>
      <w:color w:val="164A8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Customer Segmentation &amp; Sales Analysis</dc:title>
  <dc:subject>IBM SkillsBuild Data Analytics with AI Academic Internship Programme - Capstone Project</dc:subject>
  <dc:creator>Aryan Verma</dc:creator>
  <cp:keywords>RFM, K-Means, customer lifetime value, cohort analysis, Online Retail II</cp:keywords>
  <dc:description>generated by python-docx</dc:description>
  <cp:lastModifiedBy/>
  <cp:revision>1</cp:revision>
  <dcterms:created xsi:type="dcterms:W3CDTF">2013-12-23T23:15:00Z</dcterms:created>
  <dcterms:modified xsi:type="dcterms:W3CDTF">2013-12-23T23:15:00Z</dcterms:modified>
  <cp:category/>
</cp:coreProperties>
</file>