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C83CC" w14:textId="48E5EA5B" w:rsidR="00B771AB" w:rsidRDefault="00B771AB" w:rsidP="00B771AB">
      <w:pPr>
        <w:pStyle w:val="1"/>
      </w:pPr>
      <w:r>
        <w:rPr>
          <w:rFonts w:hint="eastAsia"/>
        </w:rPr>
        <w:t>第1</w:t>
      </w:r>
      <w:r>
        <w:t>5</w:t>
      </w:r>
      <w:r>
        <w:rPr>
          <w:rFonts w:hint="eastAsia"/>
        </w:rPr>
        <w:t>章习题参考答案</w:t>
      </w:r>
    </w:p>
    <w:p w14:paraId="3EE2BA61" w14:textId="3C1CD6F4" w:rsidR="00B771AB" w:rsidRPr="007C4697" w:rsidRDefault="00B771AB" w:rsidP="00B771AB">
      <w:pPr>
        <w:pStyle w:val="a7"/>
        <w:numPr>
          <w:ilvl w:val="2"/>
          <w:numId w:val="1"/>
        </w:numPr>
        <w:tabs>
          <w:tab w:val="clear" w:pos="2160"/>
        </w:tabs>
        <w:ind w:left="426" w:firstLineChars="0"/>
        <w:rPr>
          <w:b/>
        </w:rPr>
      </w:pPr>
      <w:r w:rsidRPr="007C4697">
        <w:rPr>
          <w:rFonts w:hint="eastAsia"/>
          <w:b/>
        </w:rPr>
        <w:t>通过负二项</w:t>
      </w:r>
      <w:r w:rsidRPr="007C4697">
        <w:rPr>
          <w:b/>
        </w:rPr>
        <w:t>模型</w:t>
      </w:r>
      <w:r w:rsidRPr="007C4697">
        <w:rPr>
          <w:rFonts w:hint="eastAsia"/>
          <w:b/>
        </w:rPr>
        <w:t>预测</w:t>
      </w:r>
      <w:r w:rsidRPr="007C4697">
        <w:rPr>
          <w:b/>
        </w:rPr>
        <w:t>有很高事故计数的路段是否可能被确定为高安全处理优先级？为什么？为什么不？</w:t>
      </w:r>
    </w:p>
    <w:p w14:paraId="48C99472" w14:textId="77777777" w:rsidR="007C4697" w:rsidRPr="007C4697" w:rsidRDefault="007C4697" w:rsidP="007C4697">
      <w:pPr>
        <w:spacing w:line="360" w:lineRule="auto"/>
        <w:ind w:firstLineChars="200" w:firstLine="480"/>
        <w:rPr>
          <w:rFonts w:ascii="Times New Roman" w:eastAsia="宋体" w:hAnsi="Times New Roman"/>
          <w:sz w:val="24"/>
        </w:rPr>
      </w:pPr>
      <w:r w:rsidRPr="007C4697">
        <w:rPr>
          <w:rFonts w:ascii="Times New Roman" w:eastAsia="宋体" w:hAnsi="Times New Roman"/>
          <w:sz w:val="24"/>
        </w:rPr>
        <w:t>否</w:t>
      </w:r>
      <w:r w:rsidRPr="007C4697">
        <w:rPr>
          <w:rFonts w:ascii="Times New Roman" w:eastAsia="宋体" w:hAnsi="Times New Roman" w:hint="eastAsia"/>
          <w:sz w:val="24"/>
        </w:rPr>
        <w:t>，我们根据</w:t>
      </w:r>
      <w:r w:rsidRPr="007C4697">
        <w:rPr>
          <w:rFonts w:ascii="Times New Roman" w:eastAsia="宋体" w:hAnsi="Times New Roman" w:hint="eastAsia"/>
          <w:sz w:val="24"/>
        </w:rPr>
        <w:t>ARP</w:t>
      </w:r>
      <w:r w:rsidRPr="007C4697">
        <w:rPr>
          <w:rFonts w:ascii="Times New Roman" w:eastAsia="宋体" w:hAnsi="Times New Roman" w:hint="eastAsia"/>
          <w:sz w:val="24"/>
        </w:rPr>
        <w:t>的值确定安全处理优先级</w:t>
      </w:r>
    </w:p>
    <w:p w14:paraId="7850A2FE" w14:textId="77777777" w:rsidR="007C4697" w:rsidRPr="007C4697" w:rsidRDefault="007C4697" w:rsidP="007C4697">
      <w:pPr>
        <w:spacing w:line="360" w:lineRule="auto"/>
        <w:ind w:firstLineChars="200" w:firstLine="480"/>
        <w:rPr>
          <w:rFonts w:ascii="Times New Roman" w:eastAsia="宋体" w:hAnsi="Times New Roman"/>
          <w:sz w:val="24"/>
        </w:rPr>
      </w:pPr>
      <m:oMathPara>
        <m:oMathParaPr>
          <m:jc m:val="centerGroup"/>
        </m:oMathParaPr>
        <m:oMath>
          <m:r>
            <w:rPr>
              <w:rFonts w:ascii="Cambria Math" w:eastAsia="宋体" w:hAnsi="Cambria Math"/>
              <w:sz w:val="24"/>
            </w:rPr>
            <m:t>ARP</m:t>
          </m:r>
          <m:r>
            <m:rPr>
              <m:sty m:val="p"/>
            </m:rPr>
            <w:rPr>
              <w:rFonts w:ascii="Cambria Math" w:eastAsia="宋体" w:hAnsi="Cambria Math"/>
              <w:sz w:val="24"/>
            </w:rPr>
            <m:t>=(1-</m:t>
          </m:r>
          <m:sSub>
            <m:sSubPr>
              <m:ctrlPr>
                <w:rPr>
                  <w:rFonts w:ascii="Cambria Math" w:eastAsia="宋体" w:hAnsi="Cambria Math"/>
                  <w:sz w:val="24"/>
                </w:rPr>
              </m:ctrlPr>
            </m:sSubPr>
            <m:e>
              <m:r>
                <w:rPr>
                  <w:rFonts w:ascii="Cambria Math" w:eastAsia="Cambria Math" w:hAnsi="Cambria Math"/>
                  <w:sz w:val="24"/>
                </w:rPr>
                <m:t>α</m:t>
              </m:r>
            </m:e>
            <m:sub>
              <m:r>
                <w:rPr>
                  <w:rFonts w:ascii="Cambria Math" w:eastAsia="宋体" w:hAnsi="Cambria Math"/>
                  <w:sz w:val="24"/>
                </w:rPr>
                <m:t>i</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K</m:t>
              </m:r>
            </m:e>
            <m:sub>
              <m:r>
                <w:rPr>
                  <w:rFonts w:ascii="Cambria Math" w:eastAsia="宋体" w:hAnsi="Cambria Math"/>
                  <w:sz w:val="24"/>
                </w:rPr>
                <m:t>i</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SPF</m:t>
              </m:r>
            </m:e>
            <m:sub>
              <m:r>
                <w:rPr>
                  <w:rFonts w:ascii="Cambria Math" w:eastAsia="宋体" w:hAnsi="Cambria Math"/>
                  <w:sz w:val="24"/>
                </w:rPr>
                <m:t>i</m:t>
              </m:r>
            </m:sub>
          </m:sSub>
          <m:r>
            <m:rPr>
              <m:sty m:val="p"/>
            </m:rPr>
            <w:rPr>
              <w:rFonts w:ascii="Cambria Math" w:eastAsia="宋体" w:hAnsi="Cambria Math"/>
              <w:sz w:val="24"/>
            </w:rPr>
            <m:t>)</m:t>
          </m:r>
        </m:oMath>
      </m:oMathPara>
    </w:p>
    <w:p w14:paraId="4889D259" w14:textId="77777777" w:rsidR="007C4697" w:rsidRPr="007C4697" w:rsidRDefault="007C4697" w:rsidP="007C4697">
      <w:pPr>
        <w:spacing w:line="360" w:lineRule="auto"/>
        <w:ind w:firstLineChars="200" w:firstLine="480"/>
        <w:rPr>
          <w:rFonts w:ascii="Times New Roman" w:eastAsia="宋体" w:hAnsi="Times New Roman"/>
          <w:sz w:val="24"/>
        </w:rPr>
      </w:pPr>
      <m:oMathPara>
        <m:oMath>
          <m:sSub>
            <m:sSubPr>
              <m:ctrlPr>
                <w:rPr>
                  <w:rFonts w:ascii="Cambria Math" w:eastAsia="宋体" w:hAnsi="Cambria Math"/>
                  <w:sz w:val="24"/>
                </w:rPr>
              </m:ctrlPr>
            </m:sSubPr>
            <m:e>
              <m:r>
                <w:rPr>
                  <w:rFonts w:ascii="Cambria Math" w:eastAsia="Cambria Math" w:hAnsi="Cambria Math"/>
                  <w:sz w:val="24"/>
                </w:rPr>
                <m:t>α</m:t>
              </m:r>
            </m:e>
            <m:sub>
              <m:r>
                <w:rPr>
                  <w:rFonts w:ascii="Cambria Math" w:eastAsia="宋体" w:hAnsi="Cambria Math"/>
                  <w:sz w:val="24"/>
                </w:rPr>
                <m:t>i</m:t>
              </m:r>
            </m:sub>
          </m:sSub>
          <m:r>
            <m:rPr>
              <m:sty m:val="p"/>
            </m:rPr>
            <w:rPr>
              <w:rFonts w:ascii="Cambria Math" w:eastAsia="宋体" w:hAnsi="Cambria Math"/>
              <w:sz w:val="24"/>
            </w:rPr>
            <m:t>=</m:t>
          </m:r>
          <m:f>
            <m:fPr>
              <m:ctrlPr>
                <w:rPr>
                  <w:rFonts w:ascii="Cambria Math" w:eastAsia="宋体" w:hAnsi="Cambria Math"/>
                  <w:sz w:val="24"/>
                </w:rPr>
              </m:ctrlPr>
            </m:fPr>
            <m:num>
              <m:r>
                <m:rPr>
                  <m:sty m:val="p"/>
                </m:rPr>
                <w:rPr>
                  <w:rFonts w:ascii="Cambria Math" w:eastAsia="宋体" w:hAnsi="Cambria Math"/>
                  <w:sz w:val="24"/>
                </w:rPr>
                <m:t>1</m:t>
              </m:r>
            </m:num>
            <m:den>
              <m:r>
                <m:rPr>
                  <m:sty m:val="p"/>
                </m:rPr>
                <w:rPr>
                  <w:rFonts w:ascii="Cambria Math" w:eastAsia="宋体" w:hAnsi="Cambria Math"/>
                  <w:sz w:val="24"/>
                </w:rPr>
                <m:t>1+</m:t>
              </m:r>
              <m:f>
                <m:fPr>
                  <m:ctrlPr>
                    <w:rPr>
                      <w:rFonts w:ascii="Cambria Math" w:eastAsia="宋体" w:hAnsi="Cambria Math"/>
                      <w:sz w:val="24"/>
                    </w:rPr>
                  </m:ctrlPr>
                </m:fPr>
                <m:num>
                  <m:sSub>
                    <m:sSubPr>
                      <m:ctrlPr>
                        <w:rPr>
                          <w:rFonts w:ascii="Cambria Math" w:eastAsia="宋体" w:hAnsi="Cambria Math"/>
                          <w:sz w:val="24"/>
                        </w:rPr>
                      </m:ctrlPr>
                    </m:sSubPr>
                    <m:e>
                      <m:r>
                        <w:rPr>
                          <w:rFonts w:ascii="Cambria Math" w:eastAsia="宋体" w:hAnsi="Cambria Math"/>
                          <w:sz w:val="24"/>
                        </w:rPr>
                        <m:t>SPF</m:t>
                      </m:r>
                    </m:e>
                    <m:sub>
                      <m:r>
                        <w:rPr>
                          <w:rFonts w:ascii="Cambria Math" w:eastAsia="宋体" w:hAnsi="Cambria Math"/>
                          <w:sz w:val="24"/>
                        </w:rPr>
                        <m:t>i</m:t>
                      </m:r>
                    </m:sub>
                  </m:sSub>
                </m:num>
                <m:den>
                  <m:r>
                    <w:rPr>
                      <w:rFonts w:ascii="Cambria Math" w:eastAsia="Cambria Math" w:hAnsi="Cambria Math"/>
                      <w:sz w:val="24"/>
                    </w:rPr>
                    <m:t>k</m:t>
                  </m:r>
                  <m:sSubSup>
                    <m:sSubSupPr>
                      <m:ctrlPr>
                        <w:rPr>
                          <w:rFonts w:ascii="Cambria Math" w:eastAsia="Cambria Math" w:hAnsi="Cambria Math"/>
                          <w:sz w:val="24"/>
                        </w:rPr>
                      </m:ctrlPr>
                    </m:sSubSupPr>
                    <m:e>
                      <m:r>
                        <w:rPr>
                          <w:rFonts w:ascii="Cambria Math" w:eastAsia="Cambria Math" w:hAnsi="Cambria Math"/>
                          <w:sz w:val="24"/>
                        </w:rPr>
                        <m:t>L</m:t>
                      </m:r>
                    </m:e>
                    <m:sub>
                      <m:r>
                        <w:rPr>
                          <w:rFonts w:ascii="Cambria Math" w:eastAsia="Cambria Math" w:hAnsi="Cambria Math"/>
                          <w:sz w:val="24"/>
                        </w:rPr>
                        <m:t>i</m:t>
                      </m:r>
                    </m:sub>
                    <m:sup>
                      <m:r>
                        <w:rPr>
                          <w:rFonts w:ascii="Cambria Math" w:eastAsia="Cambria Math" w:hAnsi="Cambria Math"/>
                          <w:sz w:val="24"/>
                        </w:rPr>
                        <m:t>γ</m:t>
                      </m:r>
                    </m:sup>
                  </m:sSubSup>
                </m:den>
              </m:f>
            </m:den>
          </m:f>
        </m:oMath>
      </m:oMathPara>
    </w:p>
    <w:p w14:paraId="6A5785B5" w14:textId="77777777" w:rsidR="007C4697" w:rsidRPr="007C4697" w:rsidRDefault="007C4697" w:rsidP="007C4697">
      <w:pPr>
        <w:spacing w:line="360" w:lineRule="auto"/>
        <w:ind w:firstLineChars="200" w:firstLine="480"/>
        <w:rPr>
          <w:rFonts w:ascii="Times New Roman" w:eastAsia="宋体" w:hAnsi="Times New Roman"/>
          <w:sz w:val="24"/>
        </w:rPr>
      </w:pPr>
      <m:oMathPara>
        <m:oMath>
          <m:r>
            <w:rPr>
              <w:rFonts w:ascii="Cambria Math" w:eastAsia="宋体" w:hAnsi="Cambria Math"/>
              <w:sz w:val="24"/>
            </w:rPr>
            <m:t>ARP</m:t>
          </m:r>
          <m:r>
            <m:rPr>
              <m:sty m:val="p"/>
            </m:rPr>
            <w:rPr>
              <w:rFonts w:ascii="Cambria Math" w:eastAsia="宋体" w:hAnsi="Cambria Math"/>
              <w:sz w:val="24"/>
            </w:rPr>
            <m:t>=</m:t>
          </m:r>
          <m:f>
            <m:fPr>
              <m:ctrlPr>
                <w:rPr>
                  <w:rFonts w:ascii="Cambria Math" w:eastAsia="宋体" w:hAnsi="Cambria Math"/>
                  <w:sz w:val="24"/>
                </w:rPr>
              </m:ctrlPr>
            </m:fPr>
            <m:num>
              <m:sSub>
                <m:sSubPr>
                  <m:ctrlPr>
                    <w:rPr>
                      <w:rFonts w:ascii="Cambria Math" w:eastAsia="宋体" w:hAnsi="Cambria Math"/>
                      <w:sz w:val="24"/>
                    </w:rPr>
                  </m:ctrlPr>
                </m:sSubPr>
                <m:e>
                  <m:r>
                    <w:rPr>
                      <w:rFonts w:ascii="Cambria Math" w:eastAsia="宋体" w:hAnsi="Cambria Math"/>
                      <w:sz w:val="24"/>
                    </w:rPr>
                    <m:t>SPF</m:t>
                  </m:r>
                </m:e>
                <m:sub>
                  <m:r>
                    <w:rPr>
                      <w:rFonts w:ascii="Cambria Math" w:eastAsia="宋体" w:hAnsi="Cambria Math"/>
                      <w:sz w:val="24"/>
                    </w:rPr>
                    <m:t>i</m:t>
                  </m:r>
                </m:sub>
              </m:sSub>
            </m:num>
            <m:den>
              <m:sSub>
                <m:sSubPr>
                  <m:ctrlPr>
                    <w:rPr>
                      <w:rFonts w:ascii="Cambria Math" w:eastAsia="宋体" w:hAnsi="Cambria Math"/>
                      <w:sz w:val="24"/>
                    </w:rPr>
                  </m:ctrlPr>
                </m:sSubPr>
                <m:e>
                  <m:r>
                    <w:rPr>
                      <w:rFonts w:ascii="Cambria Math" w:eastAsia="宋体" w:hAnsi="Cambria Math"/>
                      <w:sz w:val="24"/>
                    </w:rPr>
                    <m:t>SPF</m:t>
                  </m:r>
                </m:e>
                <m:sub>
                  <m:r>
                    <w:rPr>
                      <w:rFonts w:ascii="Cambria Math" w:eastAsia="宋体" w:hAnsi="Cambria Math"/>
                      <w:sz w:val="24"/>
                    </w:rPr>
                    <m:t>i</m:t>
                  </m:r>
                </m:sub>
              </m:sSub>
              <m:r>
                <m:rPr>
                  <m:sty m:val="p"/>
                </m:rPr>
                <w:rPr>
                  <w:rFonts w:ascii="Cambria Math" w:eastAsia="宋体" w:hAnsi="Cambria Math" w:hint="eastAsia"/>
                  <w:sz w:val="24"/>
                </w:rPr>
                <m:t>+</m:t>
              </m:r>
              <m:r>
                <w:rPr>
                  <w:rFonts w:ascii="Cambria Math" w:eastAsia="宋体" w:hAnsi="Cambria Math"/>
                  <w:sz w:val="24"/>
                </w:rPr>
                <m:t>k</m:t>
              </m:r>
              <m:sSubSup>
                <m:sSubSupPr>
                  <m:ctrlPr>
                    <w:rPr>
                      <w:rFonts w:ascii="Cambria Math" w:eastAsia="宋体" w:hAnsi="Cambria Math"/>
                      <w:sz w:val="24"/>
                    </w:rPr>
                  </m:ctrlPr>
                </m:sSubSupPr>
                <m:e>
                  <m:r>
                    <w:rPr>
                      <w:rFonts w:ascii="Cambria Math" w:eastAsia="宋体" w:hAnsi="Cambria Math"/>
                      <w:sz w:val="24"/>
                    </w:rPr>
                    <m:t>L</m:t>
                  </m:r>
                </m:e>
                <m:sub>
                  <m:r>
                    <w:rPr>
                      <w:rFonts w:ascii="Cambria Math" w:eastAsia="宋体" w:hAnsi="Cambria Math"/>
                      <w:sz w:val="24"/>
                    </w:rPr>
                    <m:t>i</m:t>
                  </m:r>
                </m:sub>
                <m:sup>
                  <m:r>
                    <w:rPr>
                      <w:rFonts w:ascii="Cambria Math" w:eastAsia="宋体" w:hAnsi="Cambria Math"/>
                      <w:sz w:val="24"/>
                    </w:rPr>
                    <m:t>γ</m:t>
                  </m:r>
                </m:sup>
              </m:sSubSup>
            </m:den>
          </m:f>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K</m:t>
              </m:r>
            </m:e>
            <m:sub>
              <m:r>
                <w:rPr>
                  <w:rFonts w:ascii="Cambria Math" w:eastAsia="宋体" w:hAnsi="Cambria Math"/>
                  <w:sz w:val="24"/>
                </w:rPr>
                <m:t>i</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SPF</m:t>
              </m:r>
            </m:e>
            <m:sub>
              <m:r>
                <w:rPr>
                  <w:rFonts w:ascii="Cambria Math" w:eastAsia="宋体" w:hAnsi="Cambria Math"/>
                  <w:sz w:val="24"/>
                </w:rPr>
                <m:t>i</m:t>
              </m:r>
            </m:sub>
          </m:sSub>
          <m:r>
            <m:rPr>
              <m:sty m:val="p"/>
            </m:rPr>
            <w:rPr>
              <w:rFonts w:ascii="Cambria Math" w:eastAsia="宋体" w:hAnsi="Cambria Math"/>
              <w:sz w:val="24"/>
            </w:rPr>
            <m:t>)</m:t>
          </m:r>
        </m:oMath>
      </m:oMathPara>
    </w:p>
    <w:p w14:paraId="3AB167BE" w14:textId="77777777" w:rsidR="007C4697" w:rsidRPr="007C4697" w:rsidRDefault="007C4697" w:rsidP="007C4697">
      <w:pPr>
        <w:spacing w:line="360" w:lineRule="auto"/>
        <w:ind w:firstLineChars="200" w:firstLine="480"/>
        <w:rPr>
          <w:rFonts w:ascii="Times New Roman" w:eastAsia="宋体" w:hAnsi="Times New Roman"/>
          <w:sz w:val="24"/>
        </w:rPr>
      </w:pPr>
      <w:r w:rsidRPr="007C4697">
        <w:rPr>
          <w:rFonts w:ascii="Times New Roman" w:eastAsia="宋体" w:hAnsi="Times New Roman"/>
          <w:sz w:val="24"/>
        </w:rPr>
        <w:t>如果</w:t>
      </w:r>
      <w:r w:rsidRPr="007C4697">
        <w:rPr>
          <w:rFonts w:ascii="Times New Roman" w:eastAsia="宋体" w:hAnsi="Times New Roman"/>
          <w:sz w:val="24"/>
        </w:rPr>
        <w:t>SPF</w:t>
      </w:r>
      <w:r w:rsidRPr="007C4697">
        <w:rPr>
          <w:rFonts w:ascii="Times New Roman" w:eastAsia="宋体" w:hAnsi="Times New Roman"/>
          <w:sz w:val="24"/>
        </w:rPr>
        <w:t>较大时</w:t>
      </w:r>
      <w:r w:rsidRPr="007C4697">
        <w:rPr>
          <w:rFonts w:ascii="Times New Roman" w:eastAsia="宋体" w:hAnsi="Times New Roman" w:hint="eastAsia"/>
          <w:sz w:val="24"/>
        </w:rPr>
        <w:t>，</w:t>
      </w:r>
      <w:r w:rsidRPr="007C4697">
        <w:rPr>
          <w:rFonts w:ascii="Times New Roman" w:eastAsia="宋体" w:hAnsi="Times New Roman"/>
          <w:sz w:val="24"/>
        </w:rPr>
        <w:t>ARP</w:t>
      </w:r>
      <w:r w:rsidRPr="007C4697">
        <w:rPr>
          <w:rFonts w:ascii="Times New Roman" w:eastAsia="宋体" w:hAnsi="Times New Roman"/>
          <w:sz w:val="24"/>
        </w:rPr>
        <w:t>的</w:t>
      </w:r>
      <w:proofErr w:type="gramStart"/>
      <w:r w:rsidRPr="007C4697">
        <w:rPr>
          <w:rFonts w:ascii="Times New Roman" w:eastAsia="宋体" w:hAnsi="Times New Roman"/>
          <w:sz w:val="24"/>
        </w:rPr>
        <w:t>值主要</w:t>
      </w:r>
      <w:proofErr w:type="gramEnd"/>
      <w:r w:rsidRPr="007C4697">
        <w:rPr>
          <w:rFonts w:ascii="Times New Roman" w:eastAsia="宋体" w:hAnsi="Times New Roman"/>
          <w:sz w:val="24"/>
        </w:rPr>
        <w:t>取决于</w:t>
      </w:r>
      <w:r w:rsidRPr="007C4697">
        <w:rPr>
          <w:rFonts w:ascii="Times New Roman" w:eastAsia="宋体" w:hAnsi="Times New Roman" w:hint="eastAsia"/>
          <w:sz w:val="24"/>
        </w:rPr>
        <w:t>K</w:t>
      </w:r>
      <w:r w:rsidRPr="007C4697">
        <w:rPr>
          <w:rFonts w:ascii="Times New Roman" w:eastAsia="宋体" w:hAnsi="Times New Roman" w:hint="eastAsia"/>
          <w:sz w:val="24"/>
        </w:rPr>
        <w:t>和</w:t>
      </w:r>
      <w:r w:rsidRPr="007C4697">
        <w:rPr>
          <w:rFonts w:ascii="Times New Roman" w:eastAsia="宋体" w:hAnsi="Times New Roman" w:hint="eastAsia"/>
          <w:sz w:val="24"/>
        </w:rPr>
        <w:t>SPF</w:t>
      </w:r>
      <w:r w:rsidRPr="007C4697">
        <w:rPr>
          <w:rFonts w:ascii="Times New Roman" w:eastAsia="宋体" w:hAnsi="Times New Roman" w:hint="eastAsia"/>
          <w:sz w:val="24"/>
        </w:rPr>
        <w:t>的差值，因此预测具有极高事故数的路段不一定被确定为高安全处理优先级。</w:t>
      </w:r>
    </w:p>
    <w:p w14:paraId="396F203D" w14:textId="77777777" w:rsidR="00B771AB" w:rsidRPr="007C4697" w:rsidRDefault="00B771AB" w:rsidP="007C4697">
      <w:pPr>
        <w:spacing w:line="360" w:lineRule="auto"/>
        <w:ind w:firstLineChars="200" w:firstLine="480"/>
        <w:rPr>
          <w:rFonts w:ascii="Times New Roman" w:eastAsia="宋体" w:hAnsi="Times New Roman" w:hint="eastAsia"/>
          <w:sz w:val="24"/>
        </w:rPr>
      </w:pPr>
    </w:p>
    <w:p w14:paraId="1B14FA8D" w14:textId="77349694" w:rsidR="00B771AB" w:rsidRPr="007C4697" w:rsidRDefault="00B771AB" w:rsidP="00B771AB">
      <w:pPr>
        <w:pStyle w:val="a7"/>
        <w:numPr>
          <w:ilvl w:val="2"/>
          <w:numId w:val="1"/>
        </w:numPr>
        <w:tabs>
          <w:tab w:val="clear" w:pos="2160"/>
        </w:tabs>
        <w:ind w:left="426" w:firstLineChars="0"/>
        <w:rPr>
          <w:b/>
        </w:rPr>
      </w:pPr>
      <w:r w:rsidRPr="007C4697">
        <w:rPr>
          <w:rFonts w:hint="eastAsia"/>
          <w:b/>
        </w:rPr>
        <w:t>简述通行能力的定义、作用及它与交通量的区别和内在关系。</w:t>
      </w:r>
    </w:p>
    <w:p w14:paraId="2C48C605" w14:textId="76FBBA03" w:rsidR="007C4697" w:rsidRPr="007C4697" w:rsidRDefault="007C4697" w:rsidP="007C4697">
      <w:pPr>
        <w:spacing w:line="360" w:lineRule="auto"/>
        <w:ind w:firstLineChars="200" w:firstLine="480"/>
        <w:rPr>
          <w:rFonts w:ascii="Times New Roman" w:eastAsia="宋体" w:hAnsi="Times New Roman"/>
          <w:sz w:val="24"/>
        </w:rPr>
      </w:pPr>
      <w:r>
        <w:rPr>
          <w:rFonts w:ascii="Times New Roman" w:eastAsia="宋体" w:hAnsi="Times New Roman" w:hint="eastAsia"/>
          <w:sz w:val="24"/>
        </w:rPr>
        <w:t>定义：</w:t>
      </w:r>
      <w:r w:rsidRPr="007C4697">
        <w:rPr>
          <w:rFonts w:ascii="Times New Roman" w:eastAsia="宋体" w:hAnsi="Times New Roman" w:hint="eastAsia"/>
          <w:sz w:val="24"/>
        </w:rPr>
        <w:t>道路通行能力是指在一定的道路、交通、环境条件下，</w:t>
      </w:r>
      <w:r w:rsidRPr="007C4697">
        <w:rPr>
          <w:rFonts w:ascii="Times New Roman" w:eastAsia="宋体" w:hAnsi="Times New Roman"/>
          <w:sz w:val="24"/>
        </w:rPr>
        <w:t>道路的某一断面在单位时间内所能通过的最大车辆数</w:t>
      </w:r>
      <w:r w:rsidRPr="007C4697">
        <w:rPr>
          <w:rFonts w:ascii="Times New Roman" w:eastAsia="宋体" w:hAnsi="Times New Roman" w:hint="eastAsia"/>
          <w:sz w:val="24"/>
        </w:rPr>
        <w:t>。</w:t>
      </w:r>
    </w:p>
    <w:p w14:paraId="7EE1858E" w14:textId="6242CBD1" w:rsidR="007C4697" w:rsidRPr="007C4697" w:rsidRDefault="007C4697" w:rsidP="007C4697">
      <w:pPr>
        <w:spacing w:line="360" w:lineRule="auto"/>
        <w:ind w:firstLineChars="200" w:firstLine="480"/>
        <w:rPr>
          <w:rFonts w:ascii="Times New Roman" w:eastAsia="宋体" w:hAnsi="Times New Roman"/>
          <w:sz w:val="24"/>
        </w:rPr>
      </w:pPr>
      <w:r w:rsidRPr="007C4697">
        <w:rPr>
          <w:rFonts w:ascii="Times New Roman" w:eastAsia="宋体" w:hAnsi="Times New Roman"/>
          <w:sz w:val="24"/>
        </w:rPr>
        <w:t>作用</w:t>
      </w:r>
      <w:r>
        <w:rPr>
          <w:rFonts w:ascii="Times New Roman" w:eastAsia="宋体" w:hAnsi="Times New Roman" w:hint="eastAsia"/>
          <w:sz w:val="24"/>
        </w:rPr>
        <w:t>：</w:t>
      </w:r>
      <w:r w:rsidRPr="007C4697">
        <w:rPr>
          <w:rFonts w:ascii="Times New Roman" w:eastAsia="宋体" w:hAnsi="Times New Roman"/>
          <w:sz w:val="24"/>
        </w:rPr>
        <w:t>是道路交通特征的一个重要方面</w:t>
      </w:r>
      <w:r w:rsidRPr="007C4697">
        <w:rPr>
          <w:rFonts w:ascii="Times New Roman" w:eastAsia="宋体" w:hAnsi="Times New Roman"/>
          <w:sz w:val="24"/>
        </w:rPr>
        <w:t>,</w:t>
      </w:r>
      <w:r w:rsidRPr="007C4697">
        <w:rPr>
          <w:rFonts w:ascii="Times New Roman" w:eastAsia="宋体" w:hAnsi="Times New Roman"/>
          <w:sz w:val="24"/>
        </w:rPr>
        <w:t>也是一项重要指标</w:t>
      </w:r>
      <w:r>
        <w:rPr>
          <w:rFonts w:ascii="Times New Roman" w:eastAsia="宋体" w:hAnsi="Times New Roman" w:hint="eastAsia"/>
          <w:sz w:val="24"/>
        </w:rPr>
        <w:t>，</w:t>
      </w:r>
      <w:r w:rsidRPr="007C4697">
        <w:rPr>
          <w:rFonts w:ascii="Times New Roman" w:eastAsia="宋体" w:hAnsi="Times New Roman"/>
          <w:sz w:val="24"/>
        </w:rPr>
        <w:t>确定道路通行能力是道路交通规划、设计、管理与养护的需要</w:t>
      </w:r>
      <w:r>
        <w:rPr>
          <w:rFonts w:ascii="Times New Roman" w:eastAsia="宋体" w:hAnsi="Times New Roman" w:hint="eastAsia"/>
          <w:sz w:val="24"/>
        </w:rPr>
        <w:t>，</w:t>
      </w:r>
      <w:r w:rsidRPr="007C4697">
        <w:rPr>
          <w:rFonts w:ascii="Times New Roman" w:eastAsia="宋体" w:hAnsi="Times New Roman"/>
          <w:sz w:val="24"/>
        </w:rPr>
        <w:t>也是道路交通工程技术经济管理人员的一项重要任务</w:t>
      </w:r>
    </w:p>
    <w:p w14:paraId="3781A47A" w14:textId="098D744E" w:rsidR="00B771AB" w:rsidRDefault="007C4697" w:rsidP="007C4697">
      <w:pPr>
        <w:pStyle w:val="a7"/>
        <w:ind w:firstLine="480"/>
      </w:pPr>
      <w:r>
        <w:t>通行能力与交通量存在相同之处，他们都是指单位时间内通过道路断面的交通实体数量，表示的单位和方法相同，但二者之间有着本质区别。交通量是指单位时间内，道路上实际通过的交通实体的观测值，其数值具有动态性与随机性；通行能力</w:t>
      </w:r>
      <w:r>
        <w:rPr>
          <w:rFonts w:hint="eastAsia"/>
        </w:rPr>
        <w:t>是</w:t>
      </w:r>
      <w:r>
        <w:t>在已知的道路设施和规定的运行质量条件下，单位时间内所能适应的最大交通量，其数值具有相对稳定性。在正常运行状况下，道路的交通量均小于通行能力。</w:t>
      </w:r>
      <w:r>
        <w:t>  </w:t>
      </w:r>
    </w:p>
    <w:p w14:paraId="12B392C1" w14:textId="77777777" w:rsidR="007C4697" w:rsidRPr="007C4697" w:rsidRDefault="007C4697" w:rsidP="007C4697">
      <w:pPr>
        <w:pStyle w:val="a7"/>
        <w:ind w:firstLine="480"/>
        <w:rPr>
          <w:rFonts w:hint="eastAsia"/>
        </w:rPr>
      </w:pPr>
    </w:p>
    <w:p w14:paraId="0EDCA880" w14:textId="3F809F24" w:rsidR="00B771AB" w:rsidRPr="007C4697" w:rsidRDefault="00B771AB" w:rsidP="00B771AB">
      <w:pPr>
        <w:pStyle w:val="a7"/>
        <w:numPr>
          <w:ilvl w:val="2"/>
          <w:numId w:val="1"/>
        </w:numPr>
        <w:tabs>
          <w:tab w:val="clear" w:pos="2160"/>
        </w:tabs>
        <w:ind w:left="426" w:firstLineChars="0"/>
        <w:rPr>
          <w:b/>
        </w:rPr>
      </w:pPr>
      <w:r w:rsidRPr="007C4697">
        <w:rPr>
          <w:rFonts w:hint="eastAsia"/>
          <w:b/>
        </w:rPr>
        <w:t>请简述道路通行能力与服务水平的关系，分析影响道路通行能力的因素有哪些。</w:t>
      </w:r>
    </w:p>
    <w:p w14:paraId="4465F0C2" w14:textId="79406D36" w:rsidR="007C4697" w:rsidRDefault="007C4697" w:rsidP="007C4697">
      <w:pPr>
        <w:spacing w:line="360" w:lineRule="auto"/>
        <w:ind w:firstLineChars="200" w:firstLine="480"/>
        <w:rPr>
          <w:rFonts w:ascii="Times New Roman" w:eastAsia="宋体" w:hAnsi="Times New Roman"/>
          <w:sz w:val="24"/>
        </w:rPr>
      </w:pPr>
      <w:r w:rsidRPr="007C4697">
        <w:rPr>
          <w:rFonts w:ascii="Times New Roman" w:eastAsia="宋体" w:hAnsi="Times New Roman"/>
          <w:sz w:val="24"/>
        </w:rPr>
        <w:lastRenderedPageBreak/>
        <w:t>服务水平是车辆在道路上运行过程中驾驶员和乘客所感受的质量量度。服务水平由于比较难以综合全面考虑各个因素，因此在实际的指标确定中往往只选取几项作为代表，服务交通量与通行能力之比（</w:t>
      </w:r>
      <w:r w:rsidRPr="007C4697">
        <w:rPr>
          <w:rFonts w:ascii="Times New Roman" w:eastAsia="宋体" w:hAnsi="Times New Roman"/>
          <w:sz w:val="24"/>
        </w:rPr>
        <w:t>V/C</w:t>
      </w:r>
      <w:r w:rsidRPr="007C4697">
        <w:rPr>
          <w:rFonts w:ascii="Times New Roman" w:eastAsia="宋体" w:hAnsi="Times New Roman"/>
          <w:sz w:val="24"/>
        </w:rPr>
        <w:t>）、最大服务交通量等就经常被作为评定服务等级的主要因素。一般情况来说通行能力越大所能允许的交通量（上限）越大，服务水平所允许的服务交通量（上限）越大，可使交通量与服务水平平均提高</w:t>
      </w:r>
      <w:r>
        <w:rPr>
          <w:rFonts w:ascii="Times New Roman" w:eastAsia="宋体" w:hAnsi="Times New Roman" w:hint="eastAsia"/>
          <w:sz w:val="24"/>
        </w:rPr>
        <w:t>。</w:t>
      </w:r>
    </w:p>
    <w:p w14:paraId="75541D78" w14:textId="15F35B44" w:rsidR="007C4697" w:rsidRPr="007C4697" w:rsidRDefault="007C4697" w:rsidP="007C4697">
      <w:pPr>
        <w:spacing w:line="360" w:lineRule="auto"/>
        <w:ind w:firstLineChars="200" w:firstLine="480"/>
        <w:rPr>
          <w:rFonts w:ascii="Times New Roman" w:eastAsia="宋体" w:hAnsi="Times New Roman" w:hint="eastAsia"/>
          <w:sz w:val="24"/>
        </w:rPr>
      </w:pPr>
      <w:r w:rsidRPr="007C4697">
        <w:rPr>
          <w:rFonts w:ascii="Times New Roman" w:eastAsia="宋体" w:hAnsi="Times New Roman"/>
          <w:sz w:val="24"/>
        </w:rPr>
        <w:t>影响道路通行能力的主要因素有道路状况、车辆性能、交通条件、交通管理、环境、驾驶技术和气候等条件</w:t>
      </w:r>
      <w:bookmarkStart w:id="0" w:name="_GoBack"/>
      <w:bookmarkEnd w:id="0"/>
      <w:r w:rsidRPr="007C4697">
        <w:rPr>
          <w:rFonts w:ascii="Times New Roman" w:eastAsia="宋体" w:hAnsi="Times New Roman"/>
          <w:sz w:val="24"/>
        </w:rPr>
        <w:t>。</w:t>
      </w:r>
    </w:p>
    <w:sectPr w:rsidR="007C4697" w:rsidRPr="007C46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740A8" w14:textId="77777777" w:rsidR="00D8502A" w:rsidRDefault="00D8502A" w:rsidP="00B771AB">
      <w:r>
        <w:separator/>
      </w:r>
    </w:p>
  </w:endnote>
  <w:endnote w:type="continuationSeparator" w:id="0">
    <w:p w14:paraId="4C64D51A" w14:textId="77777777" w:rsidR="00D8502A" w:rsidRDefault="00D8502A" w:rsidP="00B77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567B8" w14:textId="77777777" w:rsidR="00D8502A" w:rsidRDefault="00D8502A" w:rsidP="00B771AB">
      <w:r>
        <w:separator/>
      </w:r>
    </w:p>
  </w:footnote>
  <w:footnote w:type="continuationSeparator" w:id="0">
    <w:p w14:paraId="5DFCC0A1" w14:textId="77777777" w:rsidR="00D8502A" w:rsidRDefault="00D8502A" w:rsidP="00B771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C3304"/>
    <w:multiLevelType w:val="multilevel"/>
    <w:tmpl w:val="044299AC"/>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宋体" w:eastAsia="宋体" w:hAnsi="宋体" w:cs="Times New Roman" w:hint="eastAsia"/>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01"/>
    <w:rsid w:val="00045B01"/>
    <w:rsid w:val="000A66B6"/>
    <w:rsid w:val="00170C3E"/>
    <w:rsid w:val="007C4697"/>
    <w:rsid w:val="00876225"/>
    <w:rsid w:val="008A27F3"/>
    <w:rsid w:val="0092649C"/>
    <w:rsid w:val="0096225C"/>
    <w:rsid w:val="00B34402"/>
    <w:rsid w:val="00B771AB"/>
    <w:rsid w:val="00D85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8EF98"/>
  <w15:chartTrackingRefBased/>
  <w15:docId w15:val="{C95E3CD2-0B71-41A3-8E7A-76EA6B9DE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771A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71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71AB"/>
    <w:rPr>
      <w:sz w:val="18"/>
      <w:szCs w:val="18"/>
    </w:rPr>
  </w:style>
  <w:style w:type="paragraph" w:styleId="a5">
    <w:name w:val="footer"/>
    <w:basedOn w:val="a"/>
    <w:link w:val="a6"/>
    <w:uiPriority w:val="99"/>
    <w:unhideWhenUsed/>
    <w:rsid w:val="00B771AB"/>
    <w:pPr>
      <w:tabs>
        <w:tab w:val="center" w:pos="4153"/>
        <w:tab w:val="right" w:pos="8306"/>
      </w:tabs>
      <w:snapToGrid w:val="0"/>
      <w:jc w:val="left"/>
    </w:pPr>
    <w:rPr>
      <w:sz w:val="18"/>
      <w:szCs w:val="18"/>
    </w:rPr>
  </w:style>
  <w:style w:type="character" w:customStyle="1" w:styleId="a6">
    <w:name w:val="页脚 字符"/>
    <w:basedOn w:val="a0"/>
    <w:link w:val="a5"/>
    <w:uiPriority w:val="99"/>
    <w:rsid w:val="00B771AB"/>
    <w:rPr>
      <w:sz w:val="18"/>
      <w:szCs w:val="18"/>
    </w:rPr>
  </w:style>
  <w:style w:type="paragraph" w:styleId="a7">
    <w:name w:val="List Paragraph"/>
    <w:basedOn w:val="a"/>
    <w:uiPriority w:val="34"/>
    <w:qFormat/>
    <w:rsid w:val="00B771AB"/>
    <w:pPr>
      <w:spacing w:line="360" w:lineRule="auto"/>
      <w:ind w:firstLineChars="200" w:firstLine="420"/>
    </w:pPr>
    <w:rPr>
      <w:rFonts w:ascii="Times New Roman" w:eastAsia="宋体" w:hAnsi="Times New Roman"/>
      <w:sz w:val="24"/>
    </w:rPr>
  </w:style>
  <w:style w:type="character" w:customStyle="1" w:styleId="10">
    <w:name w:val="标题 1 字符"/>
    <w:basedOn w:val="a0"/>
    <w:link w:val="1"/>
    <w:uiPriority w:val="9"/>
    <w:rsid w:val="00B771AB"/>
    <w:rPr>
      <w:b/>
      <w:bCs/>
      <w:kern w:val="44"/>
      <w:sz w:val="44"/>
      <w:szCs w:val="44"/>
    </w:rPr>
  </w:style>
  <w:style w:type="paragraph" w:styleId="a8">
    <w:name w:val="Normal (Web)"/>
    <w:basedOn w:val="a"/>
    <w:uiPriority w:val="99"/>
    <w:semiHidden/>
    <w:unhideWhenUsed/>
    <w:rsid w:val="007C469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LYJ</dc:creator>
  <cp:keywords/>
  <dc:description/>
  <cp:lastModifiedBy>LYJ</cp:lastModifiedBy>
  <cp:revision>2</cp:revision>
  <dcterms:created xsi:type="dcterms:W3CDTF">2021-11-29T03:11:00Z</dcterms:created>
  <dcterms:modified xsi:type="dcterms:W3CDTF">2021-11-29T03:11:00Z</dcterms:modified>
</cp:coreProperties>
</file>