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9E69F2">
      <w:pPr>
        <w:jc w:val="center"/>
        <w:rPr>
          <w:rFonts w:ascii="黑体" w:hAnsi="黑体" w:eastAsia="黑体" w:cs="Times New Roman"/>
          <w:sz w:val="36"/>
          <w:szCs w:val="40"/>
        </w:rPr>
      </w:pPr>
      <w:r>
        <w:rPr>
          <w:rFonts w:hint="eastAsia" w:ascii="黑体" w:hAnsi="黑体" w:eastAsia="黑体" w:cs="Times New Roman"/>
          <w:sz w:val="36"/>
          <w:szCs w:val="40"/>
        </w:rPr>
        <w:t>《AI学习框架与科学计算》</w:t>
      </w:r>
    </w:p>
    <w:p w14:paraId="657839AB">
      <w:pPr>
        <w:jc w:val="center"/>
        <w:rPr>
          <w:rFonts w:ascii="黑体" w:hAnsi="黑体" w:eastAsia="黑体" w:cs="Times New Roman"/>
          <w:sz w:val="36"/>
          <w:szCs w:val="40"/>
        </w:rPr>
      </w:pPr>
      <w:r>
        <w:rPr>
          <w:rFonts w:hint="eastAsia" w:ascii="黑体" w:hAnsi="黑体" w:eastAsia="黑体" w:cs="Times New Roman"/>
          <w:sz w:val="36"/>
          <w:szCs w:val="40"/>
        </w:rPr>
        <w:t>课程大作业</w:t>
      </w:r>
      <w:r>
        <w:rPr>
          <w:rFonts w:ascii="黑体" w:hAnsi="黑体" w:eastAsia="黑体" w:cs="Times New Roman"/>
          <w:sz w:val="36"/>
          <w:szCs w:val="40"/>
        </w:rPr>
        <w:t>报告</w:t>
      </w:r>
    </w:p>
    <w:p w14:paraId="7F9A340B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ascii="Times New Roman" w:hAnsi="Times New Roman" w:eastAsia="宋体" w:cs="Times New Roman"/>
          <w:sz w:val="28"/>
          <w:szCs w:val="32"/>
        </w:rPr>
        <w:t>小组基础信息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8"/>
        <w:gridCol w:w="5984"/>
      </w:tblGrid>
      <w:tr w14:paraId="35E36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</w:tcPr>
          <w:p w14:paraId="2F3EEBD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小组队名</w:t>
            </w:r>
          </w:p>
        </w:tc>
        <w:tc>
          <w:tcPr>
            <w:tcW w:w="5984" w:type="dxa"/>
          </w:tcPr>
          <w:p w14:paraId="1BEB8894">
            <w:pPr>
              <w:rPr>
                <w:rFonts w:ascii="Times New Roman" w:hAnsi="Times New Roman" w:eastAsia="宋体" w:cs="Times New Roman"/>
              </w:rPr>
            </w:pPr>
          </w:p>
        </w:tc>
      </w:tr>
      <w:tr w14:paraId="262F8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</w:tcPr>
          <w:p w14:paraId="6F5794D5">
            <w:pPr>
              <w:rPr>
                <w:rFonts w:ascii="Times New Roman" w:hAnsi="Times New Roman" w:eastAsia="宋体" w:cs="Times New Roman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宋体" w:cs="Times New Roman"/>
              </w:rPr>
              <w:t>小组成员</w:t>
            </w:r>
          </w:p>
        </w:tc>
        <w:tc>
          <w:tcPr>
            <w:tcW w:w="5984" w:type="dxa"/>
          </w:tcPr>
          <w:p w14:paraId="0DF5B50E">
            <w:pPr>
              <w:rPr>
                <w:rFonts w:hint="default" w:ascii="Times New Roman" w:hAnsi="Times New Roman" w:eastAsia="宋体" w:cs="Times New Roman"/>
                <w:b/>
                <w:bCs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lang w:val="en-US" w:eastAsia="zh-CN"/>
              </w:rPr>
              <w:t>王乐+ZY2506XXX</w:t>
            </w:r>
          </w:p>
          <w:p w14:paraId="21AC3151">
            <w:pPr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张昊翔+ZY2506432</w:t>
            </w:r>
          </w:p>
        </w:tc>
      </w:tr>
      <w:tr w14:paraId="788B0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</w:tcPr>
          <w:p w14:paraId="099B9BE2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科学任务</w:t>
            </w:r>
          </w:p>
        </w:tc>
        <w:tc>
          <w:tcPr>
            <w:tcW w:w="5984" w:type="dxa"/>
          </w:tcPr>
          <w:p w14:paraId="31B7F050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基于 CNN-LSTM 的全球气候响应时空预测</w:t>
            </w:r>
          </w:p>
        </w:tc>
      </w:tr>
      <w:tr w14:paraId="5F41BE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</w:tcPr>
          <w:p w14:paraId="0830021F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论文标题</w:t>
            </w:r>
          </w:p>
        </w:tc>
        <w:tc>
          <w:tcPr>
            <w:tcW w:w="5984" w:type="dxa"/>
          </w:tcPr>
          <w:p w14:paraId="34CE0926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ClimateBench v1.0: A benchmark for data-driven climate projections</w:t>
            </w:r>
          </w:p>
        </w:tc>
      </w:tr>
      <w:tr w14:paraId="079F1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8" w:type="dxa"/>
          </w:tcPr>
          <w:p w14:paraId="65B8B76B">
            <w:pPr>
              <w:rPr>
                <w:rFonts w:ascii="Times New Roman" w:hAnsi="Times New Roman" w:eastAsia="宋体" w:cs="Times New Roman"/>
              </w:rPr>
            </w:pPr>
            <w:r>
              <w:rPr>
                <w:rFonts w:ascii="Times New Roman" w:hAnsi="Times New Roman" w:eastAsia="宋体" w:cs="Times New Roman"/>
              </w:rPr>
              <w:t>科学领域</w:t>
            </w:r>
          </w:p>
        </w:tc>
        <w:tc>
          <w:tcPr>
            <w:tcW w:w="5984" w:type="dxa"/>
          </w:tcPr>
          <w:p w14:paraId="7A6173A9">
            <w:pPr>
              <w:rPr>
                <w:rFonts w:hint="eastAsia" w:ascii="Times New Roman" w:hAnsi="Times New Roman" w:eastAsia="宋体" w:cs="Times New Roman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lang w:val="en-US" w:eastAsia="zh-CN"/>
              </w:rPr>
              <w:t>气候科学、时空预测</w:t>
            </w:r>
          </w:p>
        </w:tc>
      </w:tr>
    </w:tbl>
    <w:p w14:paraId="43222D3A">
      <w:pPr>
        <w:rPr>
          <w:rFonts w:ascii="Times New Roman" w:hAnsi="Times New Roman" w:eastAsia="宋体" w:cs="Times New Roman"/>
        </w:rPr>
      </w:pPr>
    </w:p>
    <w:p w14:paraId="1C1811B8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ascii="Times New Roman" w:hAnsi="Times New Roman" w:eastAsia="宋体" w:cs="Times New Roman"/>
          <w:sz w:val="28"/>
          <w:szCs w:val="32"/>
        </w:rPr>
        <w:t>背景介绍</w:t>
      </w:r>
    </w:p>
    <w:p w14:paraId="5567267A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为评估不同减排政策的长期影响，研究人员需要回答一个核心问题：在给定二氧化碳、甲烷和气溶胶等人为排放路径后，未来全球及各区域的气候将如何变化。完整地球系统模式（Earth System Model, ESM）能够通过大气、海洋、陆地、海冰和生物地球化学过程的耦合计算给出较可靠的预测，是气候研究的重要工具。然而，这类模式计算量巨大，一次百年尺度模拟便需要大量算力和时间，因此只能覆盖少数共享社会经济路径（SSP），难以充分搜索可能的排放情景空间，也不便用于政策优化、敏感性分析和不确定性量化。</w:t>
      </w:r>
    </w:p>
    <w:p w14:paraId="713AFBFF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传统替代方法主要包括脉冲响应模型和模式缩放。前者物理含义清晰，但通常只能预测全球平均响应，难以刻画区域差异；后者依据全球平均温升缩放空间分布，对近似线性的温度变化较有效，却难以表示降水等变量的非线性响应，也常忽略硫酸盐气溶胶和黑碳造成的区域影响。机器学习气候仿真器则可从地球系统模式的历史模拟中学习“外部强迫到气候响应”的映射，以远低于 ESM 的成本快速生成全球格点预测。</w:t>
      </w:r>
    </w:p>
    <w:p w14:paraId="52DEA8CF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ClimateBench 为该任务提供了统一的数据集、训练测试划分和评价指标。数据来自 NorESM2 地球系统模式，输入包括累计 CO2 排放、CH4 排放以及具有空间分布的 SO2 和黑碳排放，输出包括近地表气温、日较差、平均降水和极端降水四类年平均异常场。该任务的主要挑战在于：训练样本有限且相邻年份高度相关；不同强迫具有不同时间尺度和空间效应；降水及极端事件响应非线性强；自然内部变率会给监督信号引入噪声；模型既要正确预测全球变化趋势，又要保留北极放大、热带辐合带移动等区域结构。本作业使用 MindSpore 复现 CNN-LSTM 基线，以卷积网络提取空间特征，并利用 LSTM 表示气候对多年强迫的滞后响应。</w:t>
      </w:r>
    </w:p>
    <w:p w14:paraId="60826B8B">
      <w:pPr>
        <w:rPr>
          <w:rFonts w:ascii="Times New Roman" w:hAnsi="Times New Roman" w:eastAsia="宋体" w:cs="Times New Roman"/>
        </w:rPr>
      </w:pPr>
    </w:p>
    <w:p w14:paraId="4CBE9819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ascii="Times New Roman" w:hAnsi="Times New Roman" w:eastAsia="宋体" w:cs="Times New Roman"/>
          <w:sz w:val="28"/>
          <w:szCs w:val="32"/>
        </w:rPr>
        <w:t>问题定义</w:t>
      </w:r>
    </w:p>
    <w:p w14:paraId="36C24810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ClimateBench 可形式化为一个时空监督回归问题。设第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t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年的外部强迫为 </w:t>
      </w:r>
      <m:oMath>
        <m:sSub>
          <m:sSubPr>
            <m:ctrlPr>
              <w:rPr>
                <w:rFonts w:hint="default" w:ascii="Cambria Math" w:hAnsi="Cambria Math" w:eastAsia="Cambria Math"/>
                <w:sz w:val="24"/>
              </w:rPr>
            </m:ctrlPr>
          </m:sSubPr>
          <m:e>
            <m:r>
              <m:rPr/>
              <w:rPr>
                <w:rFonts w:hint="default" w:ascii="Cambria Math" w:hAnsi="Cambria Math" w:eastAsia="Cambria Math"/>
                <w:sz w:val="24"/>
              </w:rPr>
              <m:t>X</m:t>
            </m:r>
            <m:ctrlPr>
              <w:rPr>
                <w:rFonts w:ascii="Cambria Math" w:hAnsi="Cambria Math" w:eastAsia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 w:eastAsia="Cambria Math"/>
                <w:sz w:val="24"/>
              </w:rPr>
              <m:t>t</m:t>
            </m:r>
            <m:ctrlPr>
              <w:rPr>
                <w:rFonts w:ascii="Cambria Math" w:hAnsi="Cambria Math" w:eastAsia="Cambria Math"/>
                <w:sz w:val="24"/>
              </w:rPr>
            </m:ctrlPr>
          </m:sub>
        </m:sSub>
        <m:r>
          <m:rPr/>
          <w:rPr>
            <w:rFonts w:hint="default" w:ascii="Cambria Math" w:hAnsi="Cambria Math" w:eastAsia="Cambria Math"/>
            <w:sz w:val="24"/>
          </w:rPr>
          <m:t>∈</m:t>
        </m:r>
        <m:sSup>
          <m:sSupPr>
            <m:ctrlPr>
              <w:rPr>
                <w:rFonts w:hint="default" w:ascii="Cambria Math" w:hAnsi="Cambria Math" w:eastAsia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 w:eastAsia="Cambria Math"/>
                <w:sz w:val="24"/>
              </w:rPr>
              <m:t>ℝ</m:t>
            </m:r>
            <m:ctrlPr>
              <w:rPr>
                <w:rFonts w:ascii="Cambria Math" w:hAnsi="Cambria Math" w:eastAsia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 w:eastAsia="Cambria Math"/>
                <w:sz w:val="24"/>
              </w:rPr>
              <m:t>H×W×C</m:t>
            </m:r>
            <m:ctrlPr>
              <w:rPr>
                <w:rFonts w:ascii="Cambria Math" w:hAnsi="Cambria Math" w:eastAsia="Cambria Math"/>
                <w:sz w:val="24"/>
              </w:rPr>
            </m:ctrlPr>
          </m:sup>
        </m:sSup>
      </m:oMath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，其中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H=96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、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W=144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、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C=4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，四个通道依次表示 CO2、CH4、SO2 和黑碳。CO2 与 CH4 原本是全球时间序列，输入模型前广播到全部格点；SO2 与黑碳保留其经纬度分布。为表示气候系统的滞后效应，模型使用长度为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L=10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年的滑动窗口：</w:t>
      </w:r>
    </w:p>
    <w:p w14:paraId="22207173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sSub>
            <m:sSubPr>
              <m:ctrlPr>
                <w:rPr>
                  <w:rFonts w:cs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cs="Cambria Math"/>
                </w:rPr>
                <m:t>X</m:t>
              </m:r>
              <m:ctrlPr>
                <w:rPr>
                  <w:rFonts w:cs="Cambria Math"/>
                  <w:i/>
                </w:rPr>
              </m:ctrlPr>
            </m:e>
            <m:sub>
              <m:r>
                <m:rPr/>
                <w:rPr>
                  <w:rFonts w:cs="Cambria Math"/>
                </w:rPr>
                <m:t>t</m:t>
              </m:r>
              <m:ctrlPr>
                <w:rPr>
                  <w:rFonts w:cs="Cambria Math"/>
                  <w:i/>
                </w:rPr>
              </m:ctrlPr>
            </m:sub>
          </m:sSub>
          <m:r>
            <m:rPr/>
            <w:rPr>
              <w:rFonts w:cs="Cambria Math"/>
            </w:rPr>
            <m:t>=</m:t>
          </m:r>
          <m:d>
            <m:dPr>
              <m:ctrlPr>
                <w:rPr>
                  <w:rFonts w:cs="Cambria Math"/>
                  <w:i/>
                </w:rPr>
              </m:ctrlPr>
            </m:dPr>
            <m:e>
              <m:sSub>
                <m:sSubPr>
                  <m:ctrlPr>
                    <w:rPr>
                      <w:rFonts w:cs="Cambria Math"/>
                      <w:i/>
                    </w:rPr>
                  </m:ctrlPr>
                </m:sSubPr>
                <m:e>
                  <m:r>
                    <m:rPr/>
                    <w:rPr>
                      <w:rFonts w:cs="Cambria Math"/>
                    </w:rPr>
                    <m:t>X</m:t>
                  </m:r>
                  <m:ctrlPr>
                    <w:rPr>
                      <w:rFonts w:cs="Cambria Math"/>
                      <w:i/>
                    </w:rPr>
                  </m:ctrlPr>
                </m:e>
                <m:sub>
                  <m:r>
                    <m:rPr/>
                    <w:rPr>
                      <w:rFonts w:cs="Cambria Math"/>
                    </w:rPr>
                    <m:t>t−L+1</m:t>
                  </m:r>
                  <m:ctrlPr>
                    <w:rPr>
                      <w:rFonts w:cs="Cambria Math"/>
                      <w:i/>
                    </w:rPr>
                  </m:ctrlPr>
                </m:sub>
              </m:sSub>
              <m:r>
                <m:rPr/>
                <w:rPr>
                  <w:rFonts w:cs="Cambria Math"/>
                </w:rPr>
                <m:t>,…,</m:t>
              </m:r>
              <m:sSub>
                <m:sSubPr>
                  <m:ctrlPr>
                    <w:rPr>
                      <w:rFonts w:cs="Cambria Math"/>
                      <w:i/>
                    </w:rPr>
                  </m:ctrlPr>
                </m:sSubPr>
                <m:e>
                  <m:r>
                    <m:rPr/>
                    <w:rPr>
                      <w:rFonts w:cs="Cambria Math"/>
                    </w:rPr>
                    <m:t>X</m:t>
                  </m:r>
                  <m:ctrlPr>
                    <w:rPr>
                      <w:rFonts w:cs="Cambria Math"/>
                      <w:i/>
                    </w:rPr>
                  </m:ctrlPr>
                </m:e>
                <m:sub>
                  <m:r>
                    <m:rPr/>
                    <w:rPr>
                      <w:rFonts w:cs="Cambria Math"/>
                    </w:rPr>
                    <m:t>t</m:t>
                  </m:r>
                  <m:ctrlPr>
                    <w:rPr>
                      <w:rFonts w:cs="Cambria Math"/>
                      <w:i/>
                    </w:rPr>
                  </m:ctrlPr>
                </m:sub>
              </m:sSub>
              <m:ctrlPr>
                <w:rPr>
                  <w:rFonts w:cs="Cambria Math"/>
                  <w:i/>
                </w:rPr>
              </m:ctrlPr>
            </m:e>
          </m:d>
          <m:r>
            <m:rPr/>
            <w:rPr>
              <w:rFonts w:cs="Cambria Math"/>
            </w:rPr>
            <m:t>∈</m:t>
          </m:r>
          <m:sSup>
            <m:sSupPr>
              <m:ctrlPr>
                <w:rPr>
                  <w:rFonts w:cs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cs="Cambria Math"/>
                </w:rPr>
                <m:t>ℝ</m:t>
              </m:r>
              <m:ctrlPr>
                <w:rPr>
                  <w:rFonts w:cs="Cambria Math"/>
                  <w:i/>
                </w:rPr>
              </m:ctrlPr>
            </m:e>
            <m:sup>
              <m:r>
                <m:rPr/>
                <w:rPr>
                  <w:rFonts w:cs="Cambria Math"/>
                </w:rPr>
                <m:t>L×H×W×C</m:t>
              </m:r>
              <m:ctrlPr>
                <w:rPr>
                  <w:rFonts w:cs="Cambria Math"/>
                  <w:i/>
                </w:rPr>
              </m:ctrlPr>
            </m:sup>
          </m:sSup>
        </m:oMath>
      </m:oMathPara>
    </w:p>
    <w:p w14:paraId="202920D0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对于气候变量 </w:t>
      </w:r>
      <m:oMath>
        <m:r>
          <m:rPr/>
          <w:rPr>
            <w:rFonts w:hint="default" w:ascii="Cambria Math" w:hAnsi="Cambria Math" w:eastAsia="Cambria Math"/>
            <w:sz w:val="24"/>
          </w:rPr>
          <m:t>v∈{tas,DTR,pr,pr90}</m:t>
        </m:r>
      </m:oMath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，目标为 NorESM2 在第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t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年相对于工业化前控制试验气候态的异常场</w:t>
      </w: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Y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t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(v)</m:t>
            </m:r>
            <m:ctrlPr>
              <w:rPr>
                <w:rFonts w:ascii="Cambria Math" w:hAnsi="Cambria Math"/>
                <w:sz w:val="24"/>
              </w:rPr>
            </m:ctrlPr>
          </m:sup>
        </m:sSubSup>
        <m:r>
          <m:rPr/>
          <w:rPr>
            <w:rFonts w:hint="default" w:ascii="Cambria Math" w:hAnsi="Cambria Math"/>
            <w:sz w:val="24"/>
          </w:rPr>
          <m:t>∈</m:t>
        </m:r>
        <m:sSup>
          <m:sSupPr>
            <m:ctrlPr>
              <w:rPr>
                <w:rFonts w:hint="default" w:ascii="Cambria Math" w:hAnsi="Cambria Math"/>
                <w:sz w:val="24"/>
              </w:rPr>
            </m:ctrlPr>
          </m:sSupPr>
          <m:e>
            <m:r>
              <m:rPr/>
              <w:rPr>
                <w:rFonts w:hint="default" w:ascii="Cambria Math" w:hAnsi="Cambria Math"/>
                <w:sz w:val="24"/>
              </w:rPr>
              <m:t>ℝ</m:t>
            </m:r>
            <m:ctrlPr>
              <w:rPr>
                <w:rFonts w:ascii="Cambria Math" w:hAnsi="Cambria Math"/>
                <w:sz w:val="24"/>
              </w:rPr>
            </m:ctrlPr>
          </m:e>
          <m:sup>
            <m:r>
              <m:rPr/>
              <w:rPr>
                <w:rFonts w:hint="default" w:ascii="Cambria Math" w:hAnsi="Cambria Math"/>
                <w:sz w:val="24"/>
              </w:rPr>
              <m:t>H×W</m:t>
            </m:r>
            <m:ctrlPr>
              <w:rPr>
                <w:rFonts w:ascii="Cambria Math" w:hAnsi="Cambria Math"/>
                <w:sz w:val="24"/>
              </w:rPr>
            </m:ctrlPr>
          </m:sup>
        </m:sSup>
      </m:oMath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。三个集合成员的结果先取平均，以减弱内部变率。模型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</w:t>
      </w:r>
      <m:oMath>
        <m:sSubSup>
          <m:sSubSupPr>
            <m:ctrlPr>
              <w:rPr>
                <w:rFonts w:hint="default" w:ascii="Cambria Math" w:hAnsi="Cambria Math"/>
                <w:sz w:val="24"/>
              </w:rPr>
            </m:ctrlPr>
          </m:sSubSupPr>
          <m:e>
            <m:r>
              <m:rPr/>
              <w:rPr>
                <w:rFonts w:hint="default" w:ascii="Cambria Math" w:hAnsi="Cambria Math"/>
                <w:sz w:val="24"/>
              </w:rPr>
              <m:t>f</m:t>
            </m:r>
            <m:ctrlPr>
              <w:rPr>
                <w:rFonts w:ascii="Cambria Math" w:hAnsi="Cambria Math"/>
                <w:sz w:val="24"/>
              </w:rPr>
            </m:ctrlPr>
          </m:e>
          <m:sub>
            <m:r>
              <m:rPr/>
              <w:rPr>
                <w:rFonts w:hint="default" w:ascii="Cambria Math" w:hAnsi="Cambria Math"/>
                <w:sz w:val="24"/>
              </w:rPr>
              <m:t>θ</m:t>
            </m:r>
            <m:ctrlPr>
              <w:rPr>
                <w:rFonts w:ascii="Cambria Math" w:hAnsi="Cambria Math"/>
                <w:sz w:val="24"/>
              </w:rPr>
            </m:ctrlPr>
          </m:sub>
          <m:sup>
            <m:r>
              <m:rPr/>
              <w:rPr>
                <w:rFonts w:hint="default" w:ascii="Cambria Math" w:hAnsi="Cambria Math"/>
                <w:sz w:val="24"/>
              </w:rPr>
              <m:t>(v)</m:t>
            </m:r>
            <m:ctrlPr>
              <w:rPr>
                <w:rFonts w:ascii="Cambria Math" w:hAnsi="Cambria Math"/>
                <w:sz w:val="24"/>
              </w:rPr>
            </m:ctrlPr>
          </m:sup>
        </m:sSubSup>
      </m:oMath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学习映射</w:t>
      </w:r>
    </w:p>
    <w:p w14:paraId="0BCCB887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sSubSup>
            <m:sSubSupPr>
              <m:ctrlPr>
                <w:rPr>
                  <w:rFonts w:hint="default" w:ascii="Cambria Math" w:hAnsi="Cambria Math" w:eastAsia="Cambria Math"/>
                  <w:sz w:val="22"/>
                </w:rPr>
              </m:ctrlPr>
            </m:sSubSupPr>
            <m:e>
              <m:acc>
                <m:accPr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accPr>
                <m:e>
                  <m:r>
                    <m:rPr>
                      <m:sty m:val="b"/>
                    </m:rPr>
                    <w:rPr>
                      <w:rFonts w:hint="default" w:ascii="Cambria Math" w:hAnsi="Cambria Math" w:eastAsia="Cambria Math"/>
                      <w:sz w:val="22"/>
                    </w:rPr>
                    <m:t>Y</m:t>
                  </m:r>
                  <m:ctrlPr>
                    <w:rPr>
                      <w:rFonts w:ascii="Cambria Math" w:hAnsi="Cambria Math" w:eastAsia="Cambria Math"/>
                      <w:sz w:val="22"/>
                    </w:rPr>
                  </m:ctrlPr>
                </m:e>
              </m:acc>
              <m:ctrlPr>
                <w:rPr>
                  <w:rFonts w:hint="default" w:ascii="Cambria Math" w:hAnsi="Cambria Math" w:eastAsia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2"/>
                </w:rPr>
                <m:t>t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Cambria Math"/>
                  <w:sz w:val="22"/>
                </w:rPr>
                <m:t>(v)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Cambria Math"/>
              <w:sz w:val="22"/>
            </w:rPr>
            <m:t>=</m:t>
          </m:r>
          <m:sSubSup>
            <m:sSubSupPr>
              <m:ctrlPr>
                <w:rPr>
                  <w:rFonts w:hint="default" w:ascii="Cambria Math" w:hAnsi="Cambria Math" w:eastAsia="Cambria Math"/>
                  <w:sz w:val="22"/>
                </w:rPr>
              </m:ctrlPr>
            </m:sSubSupPr>
            <m:e>
              <m:r>
                <m:rPr/>
                <w:rPr>
                  <w:rFonts w:hint="default" w:ascii="Cambria Math" w:hAnsi="Cambria Math" w:eastAsia="Cambria Math"/>
                  <w:sz w:val="22"/>
                </w:rPr>
                <m:t>f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2"/>
                </w:rPr>
                <m:t>θ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 w:eastAsia="Cambria Math"/>
                  <w:sz w:val="22"/>
                </w:rPr>
                <m:t>(v)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sup>
          </m:sSubSup>
          <m:r>
            <m:rPr/>
            <w:rPr>
              <w:rFonts w:hint="default" w:ascii="Cambria Math" w:hAnsi="Cambria Math" w:eastAsia="Cambria Math"/>
              <w:sz w:val="22"/>
            </w:rPr>
            <m:t>(</m:t>
          </m:r>
          <m:sSub>
            <m:sSubPr>
              <m:ctrlPr>
                <w:rPr>
                  <w:rFonts w:hint="default" w:ascii="Cambria Math" w:hAnsi="Cambria Math" w:eastAsia="Cambria Math"/>
                  <w:sz w:val="22"/>
                </w:rPr>
              </m:ctrlPr>
            </m:sSubPr>
            <m:e>
              <m:r>
                <m:rPr>
                  <m:scr m:val="script"/>
                </m:rPr>
                <w:rPr>
                  <w:rFonts w:hint="default" w:ascii="Cambria Math" w:hAnsi="Cambria Math" w:eastAsia="MS Mincho"/>
                  <w:sz w:val="22"/>
                </w:rPr>
                <m:t>X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 w:eastAsia="Cambria Math"/>
                  <w:sz w:val="22"/>
                </w:rPr>
                <m:t>t</m:t>
              </m:r>
              <m:ctrlPr>
                <w:rPr>
                  <w:rFonts w:hint="default" w:ascii="Cambria Math" w:hAnsi="Cambria Math" w:eastAsia="Cambria Math"/>
                  <w:sz w:val="22"/>
                </w:rPr>
              </m:ctrlPr>
            </m:sub>
          </m:sSub>
          <m:r>
            <m:rPr/>
            <w:rPr>
              <w:rFonts w:hint="default" w:ascii="Cambria Math" w:hAnsi="Cambria Math" w:eastAsia="Cambria Math"/>
              <w:sz w:val="22"/>
            </w:rPr>
            <m:t>),</m:t>
          </m:r>
        </m:oMath>
      </m:oMathPara>
    </w:p>
    <w:p w14:paraId="15CF115D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四个变量分别训练，参数通过最小化训练样本上的均方误差获得：</w:t>
      </w:r>
    </w:p>
    <w:p w14:paraId="1E747B37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sSubSup>
            <m:sSubSupPr>
              <m:ctrlPr>
                <w:rPr>
                  <w:rFonts w:hint="default" w:ascii="Cambria Math" w:hAnsi="Cambria Math"/>
                  <w:sz w:val="22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2"/>
                </w:rPr>
                <m:t>θ</m:t>
              </m:r>
              <m:ctrlPr>
                <w:rPr>
                  <w:rFonts w:ascii="Cambria Math" w:hAnsi="Cambria Math"/>
                  <w:sz w:val="22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2"/>
                </w:rPr>
                <m:t>v</m:t>
              </m:r>
              <m:ctrlPr>
                <w:rPr>
                  <w:rFonts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∗</m:t>
              </m:r>
              <m:ctrlPr>
                <w:rPr>
                  <w:rFonts w:ascii="Cambria Math" w:hAnsi="Cambria Math"/>
                  <w:sz w:val="22"/>
                </w:rPr>
              </m:ctrlPr>
            </m:sup>
          </m:sSubSup>
          <m:r>
            <m:rPr/>
            <w:rPr>
              <w:rFonts w:hint="default" w:ascii="Cambria Math" w:hAnsi="Cambria Math"/>
              <w:sz w:val="22"/>
            </w:rPr>
            <m:t>=</m:t>
          </m:r>
          <m:func>
            <m:funcPr>
              <m:ctrlPr>
                <w:rPr>
                  <w:rFonts w:hint="default" w:ascii="Cambria Math" w:hAnsi="Cambria Math"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hint="default" w:ascii="Cambria Math" w:hAnsi="Cambria Math"/>
                  <w:sz w:val="22"/>
                </w:rPr>
                <m:t>arg</m:t>
              </m:r>
              <m:ctrlPr>
                <w:rPr>
                  <w:rFonts w:ascii="Cambria Math" w:hAnsi="Cambria Math"/>
                  <w:sz w:val="22"/>
                </w:rPr>
              </m:ctrlPr>
            </m:fName>
            <m:e>
              <m:r>
                <m:rPr>
                  <m:sty m:val="p"/>
                </m:rPr>
                <w:rPr>
                  <w:rFonts w:hint="default" w:ascii="Cambria Math" w:hAnsi="Cambria Math"/>
                  <w:sz w:val="22"/>
                  <w:lang w:val="en-US" w:eastAsia="zh-CN"/>
                </w:rPr>
                <m:t>min</m:t>
              </m:r>
              <m:ctrlPr>
                <w:rPr>
                  <w:rFonts w:hint="default" w:ascii="Cambria Math" w:hAnsi="Cambria Math"/>
                  <w:sz w:val="22"/>
                </w:rPr>
              </m:ctrlPr>
            </m:e>
          </m:func>
          <m:f>
            <m:fPr>
              <m:ctrlPr>
                <w:rPr>
                  <w:rFonts w:hint="default" w:ascii="Cambria Math" w:hAnsi="Cambria Math"/>
                  <w:sz w:val="22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2"/>
                </w:rPr>
                <m:t>1</m:t>
              </m:r>
              <m:ctrlPr>
                <w:rPr>
                  <w:rFonts w:hint="default" w:ascii="Cambria Math" w:hAnsi="Cambria Math"/>
                  <w:sz w:val="22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2"/>
                </w:rPr>
                <m:t>N</m:t>
              </m:r>
              <m:ctrlPr>
                <w:rPr>
                  <w:rFonts w:hint="default" w:ascii="Cambria Math" w:hAnsi="Cambria Math"/>
                  <w:sz w:val="22"/>
                </w:rPr>
              </m:ctrlPr>
            </m:den>
          </m:f>
          <m:nary>
            <m:naryPr>
              <m:chr m:val="∑"/>
              <m:limLoc m:val="subSup"/>
              <m:ctrlPr>
                <w:rPr>
                  <w:rFonts w:hint="default" w:ascii="Cambria Math" w:hAnsi="Cambria Math"/>
                  <w:sz w:val="22"/>
                </w:rPr>
              </m:ctrlPr>
            </m:naryPr>
            <m:sub>
              <m:r>
                <m:rPr/>
                <w:rPr>
                  <w:rFonts w:hint="default" w:ascii="Cambria Math" w:hAnsi="Cambria Math"/>
                  <w:sz w:val="22"/>
                </w:rPr>
                <m:t>n=1</m:t>
              </m:r>
              <m:ctrlPr>
                <w:rPr>
                  <w:rFonts w:hint="default" w:ascii="Cambria Math" w:hAnsi="Cambria Math"/>
                  <w:sz w:val="22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2"/>
                </w:rPr>
                <m:t>N</m:t>
              </m:r>
              <m:ctrlPr>
                <w:rPr>
                  <w:rFonts w:hint="default" w:ascii="Cambria Math" w:hAnsi="Cambria Math"/>
                  <w:sz w:val="22"/>
                </w:rPr>
              </m:ctrlPr>
            </m:sup>
            <m:e>
              <m:sSubSup>
                <m:sSubSupPr>
                  <m:ctrlPr>
                    <w:rPr>
                      <w:rFonts w:hint="default" w:ascii="Cambria Math" w:hAnsi="Cambria Math"/>
                      <w:sz w:val="22"/>
                    </w:rPr>
                  </m:ctrlPr>
                </m:sSubSupPr>
                <m:e>
                  <m:d>
                    <m:dPr>
                      <m:begChr m:val="‖"/>
                      <m:endChr m:val="‖"/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SupPr>
                        <m:e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f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θ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(v)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bSup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Pr>
                        <m:e>
                          <m:r>
                            <m:rPr>
                              <m:scr m:val="script"/>
                            </m:rPr>
                            <w:rPr>
                              <w:rFonts w:hint="default" w:ascii="Cambria Math" w:hAnsi="Cambria Math" w:eastAsia="MS Mincho"/>
                              <w:sz w:val="22"/>
                            </w:rPr>
                            <m:t>X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</m:sSub>
                      <m:r>
                        <m:rPr/>
                        <w:rPr>
                          <w:rFonts w:hint="default" w:ascii="Cambria Math" w:hAnsi="Cambria Math"/>
                          <w:sz w:val="22"/>
                        </w:rPr>
                        <m:t>)−</m:t>
                      </m:r>
                      <m:sSubSup>
                        <m:sSubSupPr>
                          <m:ctrlPr>
                            <w:rPr>
                              <w:rFonts w:hint="default" w:ascii="Cambria Math" w:hAnsi="Cambria Math"/>
                              <w:sz w:val="22"/>
                            </w:rPr>
                          </m:ctrlPr>
                        </m:sSubSupPr>
                        <m:e>
                          <m:r>
                            <m:rPr>
                              <m:sty m:val="b"/>
                            </m:rPr>
                            <w:rPr>
                              <w:rFonts w:hint="default" w:ascii="Cambria Math" w:hAnsi="Cambria Math"/>
                              <w:sz w:val="22"/>
                            </w:rPr>
                            <m:t>Y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e>
                        <m:sub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n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b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2"/>
                            </w:rPr>
                            <m:t>(v)</m:t>
                          </m:r>
                          <m:ctrlPr>
                            <w:rPr>
                              <w:rFonts w:ascii="Cambria Math" w:hAnsi="Cambria Math"/>
                              <w:sz w:val="22"/>
                            </w:rPr>
                          </m:ctrlPr>
                        </m:sup>
                      </m:sSubSup>
                      <m:ctrlPr>
                        <w:rPr>
                          <w:rFonts w:hint="default" w:ascii="Cambria Math" w:hAnsi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/>
                      <w:sz w:val="22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2"/>
                    </w:rPr>
                  </m:ctrlPr>
                </m:sup>
              </m:sSubSup>
              <m:ctrlPr>
                <w:rPr>
                  <w:rFonts w:hint="default" w:ascii="Cambria Math" w:hAnsi="Cambria Math"/>
                  <w:sz w:val="22"/>
                </w:rPr>
              </m:ctrlPr>
            </m:e>
          </m:nary>
          <m:r>
            <m:rPr/>
            <w:rPr>
              <w:rFonts w:hint="default" w:ascii="Cambria Math" w:hAnsi="Cambria Math"/>
              <w:sz w:val="22"/>
            </w:rPr>
            <m:t>.</m:t>
          </m:r>
        </m:oMath>
      </m:oMathPara>
    </w:p>
    <w:p w14:paraId="52E876C0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训练数据由 historical、SSP126、SSP370、SSP585、hist-GHG 和 hist-aer 组成，SSP245 完全留作测试，从而检验模型对未见排放路径的插值能力。评价时需同时考察区域形态和全球趋势。对格点场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Z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，考虑纬度方向网格面积缩小，定义面积加权全球均值</w:t>
      </w:r>
    </w:p>
    <w:p w14:paraId="3711CB8D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r>
            <m:rPr/>
            <w:rPr>
              <w:rFonts w:hint="default" w:ascii="Cambria Math" w:hAnsi="Cambria Math" w:eastAsia="宋体"/>
            </w:rPr>
            <m:t>⟨Z</m:t>
          </m:r>
          <m:sSub>
            <m:sSubPr>
              <m:ctrlPr>
                <w:rPr>
                  <w:rFonts w:hint="default" w:ascii="Cambria Math" w:hAnsi="Cambria Math" w:eastAsia="宋体"/>
                </w:rPr>
              </m:ctrlPr>
            </m:sSubPr>
            <m:e>
              <m:r>
                <m:rPr/>
                <w:rPr>
                  <w:rFonts w:hint="default" w:ascii="Cambria Math" w:hAnsi="Cambria Math" w:eastAsia="宋体"/>
                </w:rPr>
                <m:t>⟩</m:t>
              </m:r>
              <m:ctrlPr>
                <w:rPr>
                  <w:rFonts w:ascii="Cambria Math" w:hAnsi="Cambria Math" w:eastAsia="宋体"/>
                </w:rPr>
              </m:ctrlPr>
            </m:e>
            <m:sub>
              <m:r>
                <m:rPr/>
                <w:rPr>
                  <w:rFonts w:hint="default" w:ascii="Cambria Math" w:hAnsi="Cambria Math" w:eastAsia="宋体"/>
                </w:rPr>
                <m:t>w</m:t>
              </m:r>
              <m:ctrlPr>
                <w:rPr>
                  <w:rFonts w:ascii="Cambria Math" w:hAnsi="Cambria Math" w:eastAsia="宋体"/>
                </w:rPr>
              </m:ctrlPr>
            </m:sub>
          </m:sSub>
          <m:r>
            <m:rPr/>
            <w:rPr>
              <w:rFonts w:hint="default" w:ascii="Cambria Math" w:hAnsi="Cambria Math" w:eastAsia="宋体"/>
            </w:rPr>
            <m:t>=</m:t>
          </m:r>
          <m:f>
            <m:fPr>
              <m:ctrlPr>
                <w:rPr>
                  <w:rFonts w:hint="default" w:ascii="Cambria Math" w:hAnsi="Cambria Math" w:eastAsia="宋体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</w:rPr>
                    <m:t>i=1</m:t>
                  </m:r>
                  <m:ctrlPr>
                    <w:rPr>
                      <w:rFonts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</w:rPr>
                    <m:t>H</m:t>
                  </m:r>
                  <m:ctrlPr>
                    <w:rPr>
                      <w:rFonts w:ascii="Cambria Math" w:hAnsi="Cambria Math" w:eastAsia="宋体"/>
                    </w:rPr>
                  </m:ctrlP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宋体"/>
                        </w:rPr>
                        <m:t>j=1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cos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(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e>
                      </m:func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ϕ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</w:rPr>
                        <m:t>)</m:t>
                      </m:r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Z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ij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</w:rPr>
              </m:ctrlPr>
            </m:num>
            <m:den>
              <m:nary>
                <m:naryPr>
                  <m:chr m:val="∑"/>
                  <m:limLoc m:val="subSup"/>
                  <m:ctrlPr>
                    <w:rPr>
                      <w:rFonts w:hint="default" w:ascii="Cambria Math" w:hAnsi="Cambria Math" w:eastAsia="宋体"/>
                    </w:rPr>
                  </m:ctrlPr>
                </m:naryPr>
                <m:sub>
                  <m:r>
                    <m:rPr/>
                    <w:rPr>
                      <w:rFonts w:hint="default" w:ascii="Cambria Math" w:hAnsi="Cambria Math" w:eastAsia="宋体"/>
                    </w:rPr>
                    <m:t>i=1</m:t>
                  </m:r>
                  <m:ctrlPr>
                    <w:rPr>
                      <w:rFonts w:hint="default" w:ascii="Cambria Math" w:hAnsi="Cambria Math" w:eastAsia="宋体"/>
                    </w:rPr>
                  </m:ctrlPr>
                </m:sub>
                <m:sup>
                  <m:r>
                    <m:rPr/>
                    <w:rPr>
                      <w:rFonts w:hint="default" w:ascii="Cambria Math" w:hAnsi="Cambria Math" w:eastAsia="宋体"/>
                    </w:rPr>
                    <m:t>H</m:t>
                  </m:r>
                  <m:ctrlPr>
                    <w:rPr>
                      <w:rFonts w:hint="default" w:ascii="Cambria Math" w:hAnsi="Cambria Math" w:eastAsia="宋体"/>
                    </w:rPr>
                  </m:ctrlPr>
                </m:sup>
                <m:e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 w:eastAsia="宋体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 w:eastAsia="宋体"/>
                        </w:rPr>
                        <m:t>j=1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 w:eastAsia="宋体"/>
                        </w:rPr>
                        <m:t>W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sup>
                    <m:e>
                      <m:func>
                        <m:funcP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cos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fName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(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e>
                      </m:func>
                      <m:sSub>
                        <m:sSubP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ϕ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/>
                            </w:rPr>
                            <m:t>i</m:t>
                          </m:r>
                          <m:ctrlPr>
                            <w:rPr>
                              <w:rFonts w:hint="default" w:ascii="Cambria Math" w:hAnsi="Cambria Math" w:eastAsia="宋体"/>
                            </w:rPr>
                          </m:ctrlPr>
                        </m:sub>
                      </m:s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/>
                        </w:rPr>
                        <m:t>)</m:t>
                      </m:r>
                      <m:ctrlPr>
                        <w:rPr>
                          <w:rFonts w:ascii="Cambria Math" w:hAnsi="Cambria Math" w:eastAsia="宋体"/>
                        </w:rPr>
                      </m:ctrlPr>
                    </m:e>
                  </m:nary>
                  <m:ctrlPr>
                    <w:rPr>
                      <w:rFonts w:hint="default" w:ascii="Cambria Math" w:hAnsi="Cambria Math" w:eastAsia="宋体"/>
                    </w:rPr>
                  </m:ctrlPr>
                </m:e>
              </m:nary>
              <m:ctrlPr>
                <w:rPr>
                  <w:rFonts w:hint="default" w:ascii="Cambria Math" w:hAnsi="Cambria Math" w:eastAsia="宋体"/>
                </w:rPr>
              </m:ctrlPr>
            </m:den>
          </m:f>
        </m:oMath>
      </m:oMathPara>
    </w:p>
    <w:p w14:paraId="6A475156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其中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φ_i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为第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i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个纬度。记 2080-2100 年测试期长度为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T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，预测场和真实场的时间平均分别为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Ȳ^(pred)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和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Ȳ^(true)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，归一化尺度为真实场在该时期的全球平均变化幅度</w:t>
      </w:r>
      <w:bookmarkStart w:id="0" w:name="_GoBack"/>
      <w:bookmarkEnd w:id="0"/>
    </w:p>
    <w:p w14:paraId="74EA68DA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r>
            <m:rPr/>
            <w:rPr>
              <w:rFonts w:hint="default" w:ascii="Cambria Math" w:hAnsi="Cambria Math" w:eastAsia="Cambria Math"/>
              <w:sz w:val="22"/>
            </w:rPr>
            <m:t>D=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Cambria Math"/>
                  <w:sz w:val="22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sSubPr>
                <m:e>
                  <m:d>
                    <m:dPr>
                      <m:begChr m:val="⟨"/>
                      <m:endChr m:val="⟩"/>
                      <m:ctrlPr>
                        <w:rPr>
                          <w:rFonts w:hint="default" w:ascii="Cambria Math" w:hAnsi="Cambria Math" w:eastAsia="Cambria Math"/>
                          <w:sz w:val="22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Cambria Math"/>
                              <w:sz w:val="22"/>
                            </w:rPr>
                          </m:ctrlPr>
                        </m:sSupPr>
                        <m:e>
                          <m:bar>
                            <m:barPr>
                              <m:pos m:val="top"/>
                              <m:ctrlP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m:ctrlPr>
                            </m:barPr>
                            <m:e>
                              <m:r>
                                <m:rPr>
                                  <m:sty m:val="b"/>
                                </m:rPr>
                                <w:rPr>
                                  <w:rFonts w:hint="default" w:ascii="Cambria Math" w:hAnsi="Cambria Math" w:eastAsia="Cambria Math"/>
                                  <w:sz w:val="22"/>
                                </w:rPr>
                                <m:t>Y</m:t>
                              </m:r>
                              <m:ctrlPr>
                                <w:rPr>
                                  <w:rFonts w:ascii="Cambria Math" w:hAnsi="Cambria Math" w:eastAsia="Cambria Math"/>
                                  <w:sz w:val="22"/>
                                </w:rPr>
                              </m:ctrlPr>
                            </m:e>
                          </m:bar>
                          <m:ctrlPr>
                            <w:rPr>
                              <w:rFonts w:ascii="Cambria Math" w:hAnsi="Cambria Math" w:eastAsia="Cambria Math"/>
                              <w:sz w:val="22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Cambria Math"/>
                              <w:sz w:val="22"/>
                            </w:rPr>
                            <m:t>true</m:t>
                          </m:r>
                          <m:ctrlPr>
                            <w:rPr>
                              <w:rFonts w:ascii="Cambria Math" w:hAnsi="Cambria Math" w:eastAsia="Cambria Math"/>
                              <w:sz w:val="22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Cambria Math"/>
                          <w:sz w:val="22"/>
                        </w:rPr>
                      </m:ctrlPr>
                    </m:e>
                  </m:d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eastAsia="Cambria Math"/>
                      <w:sz w:val="22"/>
                    </w:rPr>
                    <m:t>w</m:t>
                  </m:r>
                  <m:ctrlPr>
                    <w:rPr>
                      <w:rFonts w:hint="default" w:ascii="Cambria Math" w:hAnsi="Cambria Math" w:eastAsia="Cambria Math"/>
                      <w:sz w:val="22"/>
                    </w:rPr>
                  </m:ctrlPr>
                </m:sub>
              </m:sSub>
              <m:ctrlPr>
                <w:rPr>
                  <w:rFonts w:hint="default" w:ascii="Cambria Math" w:hAnsi="Cambria Math" w:eastAsia="Cambria Math"/>
                  <w:sz w:val="22"/>
                </w:rPr>
              </m:ctrlPr>
            </m:e>
          </m:d>
        </m:oMath>
      </m:oMathPara>
    </w:p>
    <w:p w14:paraId="1A7ECA3E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空间指标比较多年平均气候变化图，衡量区域格局是否准确：</w:t>
      </w:r>
    </w:p>
    <w:p w14:paraId="696002AD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sSub>
            <m:sSubPr>
              <m:ctrlPr>
                <w:rPr>
                  <w:rFonts w:hint="default"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</w:rPr>
                <m:t>NRMSE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m:rPr/>
                <w:rPr>
                  <w:rFonts w:hint="default" w:ascii="Cambria Math" w:hAnsi="Cambria Math"/>
                </w:rPr>
                <m:t>s</m:t>
              </m:r>
              <m:ctrlPr>
                <w:rPr>
                  <w:rFonts w:ascii="Cambria Math" w:hAnsi="Cambria Math"/>
                </w:rPr>
              </m:ctrlPr>
            </m:sub>
          </m:sSub>
          <m:r>
            <m:rPr/>
            <w:rPr>
              <w:rFonts w:hint="default" w:ascii="Cambria Math" w:hAnsi="Cambria Math"/>
            </w:rPr>
            <m:t>=</m:t>
          </m:r>
          <m:f>
            <m:fPr>
              <m:ctrlPr>
                <w:rPr>
                  <w:rFonts w:hint="default" w:ascii="Cambria Math" w:hAnsi="Cambria Math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</w:rPr>
                  </m:ctrlPr>
                </m:deg>
                <m:e>
                  <m:sSub>
                    <m:sSubPr>
                      <m:ctrlPr>
                        <w:rPr>
                          <w:rFonts w:hint="default" w:ascii="Cambria Math" w:hAnsi="Cambria Math"/>
                        </w:rPr>
                      </m:ctrlPr>
                    </m:sSub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SupPr>
                            <m:e>
                              <m:d>
                                <m:dPr>
                                  <m:ctrlPr>
                                    <w:rPr>
                                      <w:rFonts w:hint="default" w:ascii="Cambria Math" w:hAnsi="Cambria Math"/>
                                    </w:rPr>
                                  </m:ctrlPr>
                                </m:d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̄"/>
                                          <m:ctrlPr>
                                            <w:rPr>
                                              <w:rFonts w:hint="default"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</w:rPr>
                                            <m:t>Y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acc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</w:rPr>
                                        <m:t>pred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sup>
                                  </m:sSup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</w:rPr>
                                    <m:t>−</m:t>
                                  </m:r>
                                  <m:sSup>
                                    <m:sSupPr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sSupPr>
                                    <m:e>
                                      <m:acc>
                                        <m:accPr>
                                          <m:chr m:val="̄"/>
                                          <m:ctrlPr>
                                            <w:rPr>
                                              <w:rFonts w:hint="default" w:ascii="Cambria Math" w:hAnsi="Cambria Math"/>
                                            </w:rPr>
                                          </m:ctrlPr>
                                        </m:accPr>
                                        <m:e>
                                          <m:r>
                                            <m:rPr/>
                                            <w:rPr>
                                              <w:rFonts w:hint="default" w:ascii="Cambria Math" w:hAnsi="Cambria Math"/>
                                            </w:rPr>
                                            <m:t>Y</m:t>
                                          </m:r>
                                          <m:ctrlPr>
                                            <w:rPr>
                                              <w:rFonts w:ascii="Cambria Math" w:hAnsi="Cambria Math"/>
                                            </w:rPr>
                                          </m:ctrlPr>
                                        </m:e>
                                      </m:acc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hint="default" w:ascii="Cambria Math" w:hAnsi="Cambria Math"/>
                                        </w:rPr>
                                        <m:t>true</m:t>
                                      </m:r>
                                      <m:ctrlPr>
                                        <w:rPr>
                                          <w:rFonts w:hint="default" w:ascii="Cambria Math" w:hAnsi="Cambria Math"/>
                                        </w:rPr>
                                      </m:ctrlPr>
                                    </m:sup>
                                  </m:sSup>
                                  <m:ctrlPr>
                                    <w:rPr>
                                      <w:rFonts w:hint="default" w:ascii="Cambria Math" w:hAnsi="Cambria Math"/>
                                    </w:rPr>
                                  </m:ctrlPr>
                                </m:e>
                              </m:d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e>
                            <m:sup>
                              <m:r>
                                <m:rPr/>
                                <w:rPr>
                                  <w:rFonts w:hint="default" w:ascii="Cambria Math" w:hAnsi="Cambria Math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/>
                                </w:rPr>
                              </m:ctrlPr>
                            </m:sup>
                          </m:sSup>
                          <m:ctrlPr>
                            <w:rPr>
                              <w:rFonts w:hint="default" w:ascii="Cambria Math" w:hAnsi="Cambria Math"/>
                            </w:rPr>
                          </m:ctrlPr>
                        </m:e>
                      </m:d>
                      <m:ctrlPr>
                        <w:rPr>
                          <w:rFonts w:hint="default" w:ascii="Cambria Math" w:hAnsi="Cambria Math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</w:rPr>
                        <m:t>w</m:t>
                      </m:r>
                      <m:ctrlPr>
                        <w:rPr>
                          <w:rFonts w:hint="default" w:ascii="Cambria Math" w:hAnsi="Cambria Math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</w:rPr>
                  </m:ctrlPr>
                </m:e>
              </m:rad>
              <m:ctrlPr>
                <w:rPr>
                  <w:rFonts w:hint="default" w:ascii="Cambria Math" w:hAnsi="Cambria Math"/>
                </w:rPr>
              </m:ctrlPr>
            </m:num>
            <m:den>
              <m:r>
                <m:rPr/>
                <w:rPr>
                  <w:rFonts w:hint="default" w:ascii="Cambria Math" w:hAnsi="Cambria Math"/>
                </w:rPr>
                <m:t>D</m:t>
              </m:r>
              <m:ctrlPr>
                <w:rPr>
                  <w:rFonts w:hint="default" w:ascii="Cambria Math" w:hAnsi="Cambria Math"/>
                </w:rPr>
              </m:ctrlPr>
            </m:den>
          </m:f>
        </m:oMath>
      </m:oMathPara>
    </w:p>
    <w:p w14:paraId="271DAEB6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全球指标则逐年计算面积加权全球均值的差异，用于衡量长期变化幅度和时间演化是否正确：</w:t>
      </w:r>
    </w:p>
    <w:p w14:paraId="262E79B6">
      <w:pPr>
        <w:spacing w:line="360" w:lineRule="auto"/>
        <w:ind w:firstLine="480"/>
        <w:jc w:val="both"/>
        <w:rPr>
          <w:rFonts w:hint="eastAsi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/>
                  <w:sz w:val="21"/>
                </w:rPr>
                <m:t>NRMSE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g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f>
                    <m:f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fPr>
                    <m:num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num>
                    <m:den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den>
                  </m:f>
                  <m:nary>
                    <m:naryPr>
                      <m:chr m:val="∑"/>
                      <m:limLoc m:val="subSup"/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naryPr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t=1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  <m:e>
                      <m:sSup>
                        <m:sSupP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dPr>
                            <m:e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⟨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acc>
                                    <m:accPr>
                                      <m:ctrlPr>
                                        <w:rPr>
                                          <w:rFonts w:hint="default" w:ascii="Cambria Math" w:hAnsi="Cambria Math"/>
                                          <w:sz w:val="21"/>
                                        </w:rPr>
                                      </m:ctrlPr>
                                    </m:accPr>
                                    <m:e>
                                      <m:r>
                                        <m:rPr/>
                                        <w:rPr>
                                          <w:rFonts w:hint="default" w:ascii="Cambria Math" w:hAnsi="Cambria Math"/>
                                          <w:sz w:val="21"/>
                                        </w:rPr>
                                        <m:t>Y</m:t>
                                      </m:r>
                                      <m:ctrlPr>
                                        <w:rPr>
                                          <w:rFonts w:ascii="Cambria Math" w:hAnsi="Cambria Math"/>
                                          <w:sz w:val="21"/>
                                        </w:rPr>
                                      </m:ctrlPr>
                                    </m:e>
                                  </m:acc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⟩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r>
                                <m:rPr/>
                                <w:rPr>
                                  <w:rFonts w:hint="default" w:ascii="Cambria Math" w:hAnsi="Cambria Math"/>
                                  <w:sz w:val="21"/>
                                </w:rPr>
                                <m:t>−⟨</m:t>
                              </m:r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Y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t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SubPr>
                                <m:e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⟩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e>
                                <m:sub>
                                  <m:r>
                                    <m:rPr/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  <m:t>w</m:t>
                                  </m:r>
                                  <m:ctrlPr>
                                    <w:rPr>
                                      <w:rFonts w:hint="default" w:ascii="Cambria Math" w:hAnsi="Cambria Math"/>
                                      <w:sz w:val="21"/>
                                    </w:rPr>
                                  </m:ctrlPr>
                                </m:sub>
                              </m:sSub>
                              <m:ctrlPr>
                                <w:rPr>
                                  <w:rFonts w:hint="default" w:ascii="Cambria Math" w:hAnsi="Cambria Math"/>
                                  <w:sz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default" w:ascii="Cambria Math" w:hAnsi="Cambria Math"/>
                              <w:sz w:val="21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/>
                              <w:sz w:val="21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e>
                  </m:nary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D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</m:oMath>
      </m:oMathPara>
    </w:p>
    <w:p w14:paraId="7DFCC234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ClimateBench 将两个指标组合为</w:t>
      </w:r>
    </w:p>
    <w:p w14:paraId="2BB37B63">
      <w:pPr>
        <w:spacing w:before="100" w:after="100"/>
        <w:jc w:val="center"/>
        <w:rPr>
          <w:rFonts w:ascii="Cambria Math" w:hAnsi="Cambria Math" w:eastAsia="Cambria Math" w:cs="Times New Roman"/>
          <w:kern w:val="2"/>
          <w:sz w:val="22"/>
          <w:szCs w:val="22"/>
          <w:lang w:val="en-US" w:eastAsia="zh-CN" w:bidi="ar-SA"/>
          <w14:ligatures w14:val="standardContextual"/>
        </w:rPr>
      </w:pPr>
      <m:oMathPara>
        <m:oMath>
          <m:r>
            <m:rPr/>
            <w:rPr>
              <w:rFonts w:hint="default" w:ascii="Cambria Math"/>
            </w:rPr>
            <m:t>NRMS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total</m:t>
              </m:r>
            </m:sub>
          </m:sSub>
          <m:r>
            <m:rPr/>
            <w:rPr>
              <w:rFonts w:hint="default" w:ascii="Cambria Math"/>
            </w:rPr>
            <m:t>=NRMS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s</m:t>
              </m:r>
            </m:sub>
          </m:sSub>
          <m:r>
            <m:rPr/>
            <w:rPr>
              <w:rFonts w:hint="default" w:ascii="Cambria Math"/>
            </w:rPr>
            <m:t>+5NRMS</m:t>
          </m:r>
          <m:sSub>
            <m:sSubPr>
              <m:ctrlPr>
                <w:rPr>
                  <w:rFonts w:hint="default" w:ascii="Cambria Math"/>
                </w:rPr>
              </m:ctrlPr>
            </m:sSubPr>
            <m:e>
              <m:r>
                <m:rPr/>
                <w:rPr>
                  <w:rFonts w:hint="default" w:ascii="Cambria Math"/>
                </w:rPr>
                <m:t>E</m:t>
              </m:r>
            </m:e>
            <m:sub>
              <m:r>
                <m:rPr/>
                <w:rPr>
                  <w:rFonts w:hint="default" w:ascii="Cambria Math"/>
                </w:rPr>
                <m:t>g</m:t>
              </m:r>
            </m:sub>
          </m:sSub>
        </m:oMath>
      </m:oMathPara>
    </w:p>
    <w:p w14:paraId="20910DB2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指标越小，表示模型既能重建空间变化格局，又能准确预测全球平均变化幅度。系数 5 用于平衡两部分对总分的贡献，避免仅凭格点误差较小便掩盖全球趋势偏差；以真实响应幅度 </w:t>
      </w:r>
      <w:r>
        <w:rPr>
          <w:rFonts w:ascii="Cambria Math" w:hAnsi="Cambria Math" w:eastAsia="Cambria Math" w:cs="Cambria Math"/>
          <w:kern w:val="2"/>
          <w:sz w:val="24"/>
          <w:szCs w:val="22"/>
          <w:lang w:val="en-US" w:eastAsia="zh-CN" w:bidi="ar-SA"/>
          <w14:ligatures w14:val="standardContextual"/>
        </w:rPr>
        <w:t>D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归一化后，量纲和数值范围不同的温度、日较差、降水及极端降水任务也可以采用统一形式进行比较。因此，本任务并非普通的单点时间序列预测，而是同时受时间依赖、空间结构和全球物理统计约束的高维回归问题。</w:t>
      </w:r>
    </w:p>
    <w:p w14:paraId="627513EB">
      <w:pPr>
        <w:pStyle w:val="31"/>
        <w:ind w:left="0" w:leftChars="0" w:firstLine="0" w:firstLineChars="0"/>
        <w:rPr>
          <w:rFonts w:ascii="Times New Roman" w:hAnsi="Times New Roman" w:eastAsia="宋体" w:cs="Times New Roman"/>
        </w:rPr>
      </w:pPr>
    </w:p>
    <w:p w14:paraId="53A748E6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hint="eastAsia" w:ascii="Times New Roman" w:hAnsi="Times New Roman" w:eastAsia="宋体" w:cs="Times New Roman"/>
          <w:sz w:val="28"/>
          <w:szCs w:val="32"/>
        </w:rPr>
        <w:t>研究现状</w:t>
      </w:r>
    </w:p>
    <w:p w14:paraId="71427741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气候模式仿真研究最初主要依赖低维物理模型和模式缩放方法。以 MAGICC6 为代表的简化气候模型用少量方程描述碳循环、辐射强迫和海洋热响应，可以快速估计不同排放路径下的全球平均温度，具有计算成本低、物理含义清晰的优点[1]。然而，这类模型通常只提供全球均值，无法直接回答区域气候如何变化。模式缩放则假设局地气候变化格局能够随全球平均温升按比例调整，从而以较小代价获得空间投影。研究表明，该假设对近似线性的温度响应较有效，但对降水、极端事件以及具有明显区域效应的气溶胶强迫适用性有限[2]。</w:t>
      </w:r>
    </w:p>
    <w:p w14:paraId="77F03BEE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随着地球系统模式试验数据不断积累，统计仿真器开始直接学习外部强迫与气候响应之间的映射。Castruccio 等基于预先计算的全球气候模式试验构建统计模型，实现了区域温度场的快速生成[3]；MESMER 将全球平均温度轨迹映射到陆地格点，并显式描述自然内部变率，为区域风险研究提供了概率化结果[4]；Mansfield 等进一步证明，机器学习可以利用较短期模拟预测长期气候变化的空间格局，显示出减少昂贵模式积分的潜力[5]。这些工作推动气候仿真从简单线性缩放发展为能够处理非线性、多尺度和空间相关性的统计学习问题。</w:t>
      </w:r>
    </w:p>
    <w:p w14:paraId="4CC354C4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现有数据驱动仿真器采用了多种模型。高斯过程能够用核函数描述平滑的非线性响应，并同时给出预测均值和不确定性，但计算复杂度会随样本量增加；随机森林擅长刻画变量间的非线性交互，特征重要性也便于解释，但树模型通常不适合外推到训练范围之外；卷积神经网络可提取气溶胶排放和气候响应的空间结构，循环神经网络则能够表示海洋热惯性等导致的时间滞后。ESEm 等开源地球系统仿真平台为高斯过程、随机森林和神经网络提供了较统一的训练、采样与校准接口，降低了不同方法的比较难度[6]。与此同时，深度学习研究逐渐从单纯追求预测精度转向结合地球系统过程知识、可解释性和物理一致性[7]。将能量守恒等解析约束嵌入网络结构或损失函数，已被证明有助于减少不合理预测并提高模型在未见条件下的可靠性[8]。</w:t>
      </w:r>
    </w:p>
    <w:p w14:paraId="5BC467B9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统一数据集和评价协议的出现进一步促进了方法比较。WeatherBench 为数据驱动天气预报建立了标准化数据和指标体系[9]，但天气预报主要关注初值驱动的短期演变，而气候投影关注外部强迫下数十年至百年尺度的统计响应。ClimateBench 因此使用 NorESM2 的 CMIP6、ScenarioMIP、AerChemMIP 和 DAMIP 试验，构建了面向气候投影的统一基准，并比较模式缩放、高斯过程、随机森林和 CNN-LSTM 等方法[10]。结果表明，机器学习能够较好模拟温度、日较差、降水及极端降水的全球与区域响应，其中神经网络在多个任务的全球均值预测上表现突出。不过，有限且高度相关的训练样本、自然内部变率、跨情景外推、极端降水的强非线性以及预测的物理可信性仍是关键难题。当前研究正向概率化、多变量联合建模、跨模式迁移和物理约束学习发展，目标是在计算效率、预测精度、不确定性刻画与物理一致性之间取得平衡，使气候仿真器能够可靠支持情景探索、风险评估和气候归因。</w:t>
      </w:r>
    </w:p>
    <w:p w14:paraId="44CBCD76">
      <w:pPr>
        <w:keepNext/>
        <w:spacing w:before="240" w:after="120"/>
        <w:rPr>
          <w:rFonts w:ascii="Times New Roman" w:hAnsi="Times New Roman" w:eastAsia="黑体" w:cs="Times New Roman"/>
          <w:b/>
          <w:kern w:val="2"/>
          <w:sz w:val="24"/>
          <w:szCs w:val="21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b/>
          <w:kern w:val="2"/>
          <w:sz w:val="24"/>
          <w:szCs w:val="21"/>
          <w:lang w:val="en-US" w:eastAsia="zh-CN" w:bidi="ar-SA"/>
          <w14:ligatures w14:val="standardContextual"/>
        </w:rPr>
        <w:t>参考文献</w:t>
      </w:r>
    </w:p>
    <w:p w14:paraId="0285CAA9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[1] MEINSHAUSEN M, RAPER S C B, WIGLEY T M L. Emulating coupled atmosphere-ocean and carbon cycle models with a simpler model, MAGICC6-Part 1: Model description and calibration[J]. Atmospheric Chemistry and Physics, 2011, 11(4): 1417-1456. DOI:10.5194/acp-11-1417-2011.</w:t>
      </w:r>
    </w:p>
    <w:p w14:paraId="69D33912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[2] TEBALDI C, ARBLASTER J M. Pattern scaling: Its strengths and limitations, and an update on the latest model simulations[J]. Climatic Change, 2014, 122(3): 459-471. DOI:10.1007/s10584-013-1032-9.</w:t>
      </w:r>
    </w:p>
    <w:p w14:paraId="44A0DEA6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[3] CASTRUCCIO S, MCINERNEY D J, STEIN M L, et al. Statistical emulation of climate model projections based on precomputed GCM runs[J]. Journal of Climate, 2014, 27(5): 1829-1844. DOI:10.1175/JCLI-D-13-00099.1.</w:t>
      </w:r>
    </w:p>
    <w:p w14:paraId="7AC458A9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[4] BEUSCH L, GUDMUNDSSON L, SENEVIRATNE S I. Emulating Earth system model temperatures with MESMER: From global mean temperature trajectories to grid-point-level realizations on land[J]. Earth System Dynamics, 2020, 11(1): 139-159. DOI:10.5194/esd-11-139-2020.</w:t>
      </w:r>
    </w:p>
    <w:p w14:paraId="7235D702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[5] MANSFIELD L A, NOWACK P J, KASOAR M, et al. Predicting global patterns of long-term climate change from short-term simulations using machine learning[J]. npj Climate and Atmospheric Science, 2020, 3(1): 44. DOI:10.1038/s41612-020-00148-5.</w:t>
      </w:r>
    </w:p>
    <w:p w14:paraId="64EFE654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[6] WATSON-PARRIS D, WILLIAMS A, DEACONU L, et al. Model calibration using ESEm v1.1.0: An open, scalable Earth system emulator[J]. Geoscientific Model Development, 2021, 14(12): 7659-7672. DOI:10.5194/gmd-14-7659-2021.</w:t>
      </w:r>
    </w:p>
    <w:p w14:paraId="0B1D5A38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[7] REICHSTEIN M, CAMPS-VALLS G, STEVENS B, et al. Deep learning and process understanding for data-driven Earth system science[J]. Nature, 2019, 566(7743): 195-204. DOI:10.1038/s41586-019-0912-1.</w:t>
      </w:r>
    </w:p>
    <w:p w14:paraId="22967FDA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[8] BEUCLER T, PRITCHARD M, RASP S, et al. Enforcing analytic constraints in neural networks emulating physical systems[J]. Physical Review Letters, 2021, 126(9): 098302. DOI:10.1103/PhysRevLett.126.098302.</w:t>
      </w:r>
    </w:p>
    <w:p w14:paraId="1D2056AA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[9] RASP S, DUEBEN P D, SCHER S, et al. WeatherBench: A benchmark data set for data-driven weather forecasting[J]. Journal of Advances in Modeling Earth Systems, 2020, 12(11): e2020MS002203. DOI:10.1029/2020MS002203.</w:t>
      </w:r>
    </w:p>
    <w:p w14:paraId="542D4030">
      <w:pPr>
        <w:spacing w:after="60" w:line="288" w:lineRule="auto"/>
        <w:ind w:left="420" w:hanging="420"/>
        <w:jc w:val="both"/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1"/>
          <w:szCs w:val="22"/>
          <w:lang w:val="en-US" w:eastAsia="zh-CN" w:bidi="ar-SA"/>
          <w14:ligatures w14:val="standardContextual"/>
        </w:rPr>
        <w:t>[10] WATSON-PARRIS D, RAO Y, OLIVIE D, et al. ClimateBench v1.0: A benchmark for data-driven climate projections[J]. Journal of Advances in Modeling Earth Systems, 2022, 14(10): e2021MS002954. DOI:10.1029/2021MS002954.</w:t>
      </w:r>
    </w:p>
    <w:p w14:paraId="245D454C">
      <w:pPr>
        <w:rPr>
          <w:rFonts w:ascii="Times New Roman" w:hAnsi="Times New Roman" w:eastAsia="宋体" w:cs="Times New Roman"/>
        </w:rPr>
      </w:pPr>
    </w:p>
    <w:p w14:paraId="1C446F6F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ascii="Times New Roman" w:hAnsi="Times New Roman" w:eastAsia="宋体" w:cs="Times New Roman"/>
          <w:sz w:val="28"/>
          <w:szCs w:val="32"/>
        </w:rPr>
        <w:t>论文方法</w:t>
      </w:r>
    </w:p>
    <w:p w14:paraId="14E6772A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本作业并非只把原论文的网络层名称替换成 MindSpore API。我们以官方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CNN-LTSM_model.ipynb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为参照，将数据准备、时序样本构造、CNN-LSTM 网络、四变量训练、SSP245 推理、官方指标和空间可视化完整重建为可独立执行的工程。实验运行在华为云 ModelArts Notebook，使用 Python 3.7.10、MindSpore 1.7.0 和 NVIDIA Tesla T4 GPU。我们的迁移原则是保持科学任务、数据语义、输入输出形状和网络信息流一致，再针对 MindSpore 的张量布局、网络封装和训练接口完成适配。</w:t>
      </w:r>
    </w:p>
    <w:p w14:paraId="30A7948B">
      <w:pPr>
        <w:keepNext/>
        <w:spacing w:before="160" w:after="80"/>
        <w:rPr>
          <w:rFonts w:ascii="Times New Roman" w:hAnsi="Times New Roman" w:eastAsia="黑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5</w:t>
      </w:r>
      <w:r>
        <w:rPr>
          <w:rFonts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.1 数据协议与样本构造</w:t>
      </w:r>
    </w:p>
    <w:p w14:paraId="332A1FFC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原代码使用 historical、SSP126、SSP370、SSP585、hist-GHG 和 hist-aer 形成训练数据，并将 historical 与每个未来 SSP 场景连接，使预测情景初期时仍能获得前 9 年历史强迫。SSP245 完全留作测试。我们保持了这一划分，并继续使用 xarray 读取 NetCDF：输出变量沿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member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维求平均；pr 和 pr90 乘以 86400，由 kg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/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m</w:t>
      </w:r>
      <w:r>
        <w:rPr>
          <w:rFonts w:ascii="Times New Roman" w:hAnsi="Times New Roman" w:eastAsia="宋体" w:cs="Times New Roman"/>
          <w:kern w:val="2"/>
          <w:sz w:val="24"/>
          <w:szCs w:val="22"/>
          <w:vertAlign w:val="superscript"/>
          <w:lang w:val="en-US" w:eastAsia="zh-CN" w:bidi="ar-SA"/>
          <w14:ligatures w14:val="standardContextual"/>
        </w:rPr>
        <w:t>2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vertAlign w:val="superscript"/>
          <w:lang w:val="en-US" w:eastAsia="zh-CN" w:bidi="ar-SA"/>
          <w14:ligatures w14:val="standardContextual"/>
        </w:rPr>
        <w:t xml:space="preserve"> 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s 转为 mm/day；CO2 和 CH4 从时间序列广播到 96×144 网格，SO2 和 BC 保留空间分布，最终堆叠为四通道输入。我们将经纬度名称统一为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lat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和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lon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，将所有数组转为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float32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，并将训练统计量保存为 JSON 供推理阶段复用。</w:t>
      </w:r>
    </w:p>
    <w:p w14:paraId="35A7C6BB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我们沿用原版长度为 10 年的滑动窗口，并以窗口最后一年的气候场作为标签。我们将 notebook 中两套输入、输出切窗函数合并为一个显式保持时间坐标的函数：</w:t>
      </w:r>
    </w:p>
    <w:p w14:paraId="10F1904A">
      <w:pPr>
        <w:pStyle w:val="43"/>
        <w:keepLines/>
        <w:shd w:val="clear" w:color="auto" w:fill="F2F2F2"/>
      </w:pPr>
      <w:r>
        <w:rPr>
          <w:rFonts w:eastAsia="等线" w:cs="Consolas"/>
        </w:rPr>
        <w:t>def make_windows(x, y, times, slider=10, start_index=0):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xs, ys, out_times = [], [], []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for i in range(start_index, x.shape[0] - slider + 1):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target_idx = i + slider - 1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xs.append(x[i:i + slider])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ys.append(y[target_idx][None, :, :])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out_times.append(times[target_idx])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return np.asarray(xs, np.float32), np.asarray(ys, np.float32), np.asarray(out_times)</w:t>
      </w:r>
    </w:p>
    <w:p w14:paraId="29B08819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这样构造出的输入和标签形状分别为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[N,10,96,144,4]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与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[N,1,96,144]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，共得到 726 个样本。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start_index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用于控制 historical 与 SSP 接缝处的窗口起点，既保留历史上下文，又避免把同一历史标签重复加入多个场景。tas、pr、DTR 和 pr90 仍按原代码分别训练四个模型，保持不同物理变量的独立输出假设。</w:t>
      </w:r>
    </w:p>
    <w:p w14:paraId="10178283">
      <w:pPr>
        <w:keepNext/>
        <w:spacing w:before="160" w:after="80"/>
        <w:rPr>
          <w:rFonts w:ascii="Times New Roman" w:hAnsi="Times New Roman" w:eastAsia="黑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5</w:t>
      </w:r>
      <w:r>
        <w:rPr>
          <w:rFonts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.2 网络结构的逐层迁移</w:t>
      </w:r>
    </w:p>
    <w:p w14:paraId="2C534619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官方 Keras baseline 的核心结构如下。它先对 10 个时间步共享同一个二维卷积，再进行空间池化和全局平均，最后由 LSTM 汇总时间信息并输出全球格点场：</w:t>
      </w:r>
    </w:p>
    <w:p w14:paraId="1F971A49">
      <w:pPr>
        <w:pStyle w:val="43"/>
        <w:keepLines/>
        <w:shd w:val="clear" w:color="auto" w:fill="F2F2F2"/>
      </w:pPr>
      <w:r>
        <w:rPr>
          <w:rFonts w:eastAsia="等线" w:cs="Consolas"/>
        </w:rPr>
        <w:t>cnn_model = Sequential()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cnn_model.add(Input(shape=(10, 96, 144, 4)))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Conv2D(20, (3, 3), padding="same", activation="relu")))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cnn_model.add(TimeDistributed(AveragePooling2D(2)))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cnn_model.add(TimeDistributed(GlobalAveragePooling2D()))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cnn_model.add(LSTM(25, activation="relu"))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cnn_model.add(Dense(96 * 144))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cnn_model.add(Reshape((1, 96, 144)))</w:t>
      </w:r>
    </w:p>
    <w:p w14:paraId="17346A87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MindSpore 1.7.0 没有直接照搬 Keras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TimeDistributed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的必要。我们在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ClimateCNNLSTM(nn.Cell)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中先把输入从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[B,T,H,W,C]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转为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[B,T,C,H,W]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，再合并批次和时间维，使同一个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nn.Conv2d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一次处理所有年份。这一做法与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TimeDistributed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的关键语义一致，即不同时间步共享卷积权重，而不是为每年建立独立卷积层。卷积后的 2×2 平均池化对应 Keras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AveragePooling2D(2)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，对空间维执行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ReduceMean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对应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GlobalAveragePooling2D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；恢复为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[B,T,20]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后输入隐藏维为 25 的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nn.LSTM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，取最后时间步，经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nn.Dense(25,13824)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重塑为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[B,1,96,144]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：</w:t>
      </w:r>
    </w:p>
    <w:p w14:paraId="31432A73">
      <w:pPr>
        <w:pStyle w:val="43"/>
        <w:keepLines/>
        <w:shd w:val="clear" w:color="auto" w:fill="F2F2F2"/>
      </w:pPr>
      <w:r>
        <w:rPr>
          <w:rFonts w:eastAsia="等线" w:cs="Consolas"/>
        </w:rPr>
        <w:t>class ClimateCNNLSTM(nn.Cell):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def construct(self, x):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b, t, h, w, c = x.shape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self.transpose(x, (0, 1, 4, 2, 3))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self.reshape(x, (b * t, c, h, w))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self.pool(self.relu(self.conv(x)))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self.reduce_mean(x, (2, 3))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x = self.reshape(x, (b, t, self.cnn_channels))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out, _ = self.lstm(x)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y = self.dense(out[:, -1, :])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    return self.reshape(y, (b, 1, self.lat, self.lon))</w:t>
      </w:r>
    </w:p>
    <w:p w14:paraId="208706D3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因此，我们实现的模型与原版模型在“逐年提取空间特征、压缩为空间摘要、汇总十年时间依赖、恢复全球场”的整体信息流上保持一致。我们也保留了卷积通道数 20、卷积核 3×3、same padding、平均池化、LSTM 隐藏维 25、线性输出 13824 个格点等结构参数。框架层面存在两项实现差异：原版使用 RMSProp，并为 Keras LSTM 指定 ReLU；我们采用学习率 0.001 的 Adam 和 MindSpore 标准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nn.LSTM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门控激活。因此，本作业追求网络功能和任务协议等价，而不是逐浮点数一致。</w:t>
      </w:r>
    </w:p>
    <w:p w14:paraId="6BC1BBFB">
      <w:pPr>
        <w:keepNext/>
        <w:spacing w:before="160" w:after="80"/>
        <w:rPr>
          <w:rFonts w:ascii="Times New Roman" w:hAnsi="Times New Roman" w:eastAsia="黑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hint="eastAsia"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5</w:t>
      </w:r>
      <w:r>
        <w:rPr>
          <w:rFonts w:ascii="Times New Roman" w:hAnsi="Times New Roman" w:eastAsia="宋体" w:cs="Times New Roman"/>
          <w:b/>
          <w:kern w:val="2"/>
          <w:sz w:val="24"/>
          <w:szCs w:val="22"/>
          <w:lang w:val="en-US" w:eastAsia="zh-CN" w:bidi="ar-SA"/>
          <w14:ligatures w14:val="standardContextual"/>
        </w:rPr>
        <w:t>.3 MindSpore 训练、推理与评价链路</w:t>
      </w:r>
    </w:p>
    <w:p w14:paraId="3D1EC90C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原 notebook 通过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model.compile(...); model.fit(...)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隐式完成损失计算、反向传播和参数更新。我们将这些步骤映射为 MindSpore 原生组件：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NumpySlicesDataset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负责随机打乱和批处理，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nn.MSELoss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保持原版格点 MSE 目标，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NetWithLoss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封装模型与损失，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nn.TrainOneStepCell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完成单步梯度计算和参数更新。batch size 16 与 30 个 epoch 均与官方 baseline 一致：</w:t>
      </w:r>
    </w:p>
    <w:p w14:paraId="5803EB87">
      <w:pPr>
        <w:pStyle w:val="43"/>
        <w:keepLines/>
        <w:shd w:val="clear" w:color="auto" w:fill="F2F2F2"/>
      </w:pPr>
      <w:r>
        <w:rPr>
          <w:rFonts w:eastAsia="等线" w:cs="Consolas"/>
        </w:rPr>
        <w:t>train_ds = ds.NumpySlicesDataset(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{"x": X, "y": Y}, shuffle=True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).batch(16)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loss_fn = nn.MSELoss()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optimizer = nn.Adam(net.trainable_params(), learning_rate=1e-3)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train_net = nn.TrainOneStepCell(NetWithLoss(net, loss_fn), optimizer)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>for batch in train_ds.create_dict_iterator():</w:t>
      </w:r>
      <w:r>
        <w:rPr>
          <w:rFonts w:eastAsia="等线" w:cs="Consolas"/>
        </w:rPr>
        <w:br w:type="textWrapping"/>
      </w:r>
      <w:r>
        <w:rPr>
          <w:rFonts w:eastAsia="等线" w:cs="Consolas"/>
        </w:rPr>
        <w:t xml:space="preserve">    loss = train_net(batch["x"], batch["y"])</w:t>
      </w:r>
    </w:p>
    <w:p w14:paraId="711E4139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工程化复现还覆盖了 notebook 之外的完整产物管理。每轮训练记录 CSV 日志并保存 checkpoint，最终标准化参数单独保存；推理时重新加载 checkpoint 和训练统计量，将 historical 与 SSP245 拼接后按同一规则切窗，批量生成 2015-2100 年预测，并连同时间、纬度和经度坐标写回 NetCDF。评价阶段在 2080-2100 年计算纬度余弦面积加权的 Spatial NRMSE、Global NRMSE 和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Spatial + 5×Global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总分，并为四个变量输出 2030、2050、2100 年的真值、预测和误差图。由此，复现深度覆盖了原论文 CNN-LSTM 的数据协议、网络结构、训练规模、测试场景、评价指标和科学数据格式，而不是停留在单次前向传播或单变量示例层面。</w:t>
      </w:r>
    </w:p>
    <w:p w14:paraId="52264C2B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</w:p>
    <w:p w14:paraId="5357D10E">
      <w:pPr>
        <w:pStyle w:val="31"/>
        <w:numPr>
          <w:ilvl w:val="0"/>
          <w:numId w:val="1"/>
        </w:numPr>
        <w:rPr>
          <w:rFonts w:ascii="Times New Roman" w:hAnsi="Times New Roman" w:eastAsia="宋体" w:cs="Times New Roman"/>
          <w:sz w:val="28"/>
          <w:szCs w:val="32"/>
        </w:rPr>
      </w:pPr>
      <w:r>
        <w:rPr>
          <w:rFonts w:ascii="Times New Roman" w:hAnsi="Times New Roman" w:eastAsia="宋体" w:cs="Times New Roman"/>
          <w:sz w:val="28"/>
          <w:szCs w:val="32"/>
        </w:rPr>
        <w:t>复现结果</w:t>
      </w:r>
    </w:p>
    <w:p w14:paraId="07CA55E7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本实验预测四个具有不同物理含义的目标变量。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tas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是年平均近地表气温异常，主要反映温室气体驱动的整体增暖及其区域差异；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pr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是年平均降水异常，用于描述水循环平均状态的变化；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DTR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是每日最高与最低近地表气温之差的年平均异常，对陆海差异和气溶胶强迫较敏感；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pr90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 是逐年每日降水量的第 90 百分位异常，用于表示强降水变化。四者均相对于 NorESM2 工业化前控制试验气候态计算，其中 pr 和 pr90 以 mm/day 表示，tas 和 DTR 以 K 表示。选择这四项任务可以同时检验模型对近线性温度响应、非线性降水响应及极端事件的学习能力。</w:t>
      </w:r>
    </w:p>
    <w:p w14:paraId="682830E9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四个变量均完成 30 个 epoch 训练，并生成最终 checkpoint、SSP245 年度预测、评价 CSV 和空间分布图。训练数据张量为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(726,10,96,144,4)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 xml:space="preserve">，标签为 </w:t>
      </w:r>
      <w:r>
        <w:rPr>
          <w:rFonts w:ascii="Consolas" w:hAnsi="Consolas" w:eastAsia="等线" w:cs="Consolas"/>
          <w:kern w:val="2"/>
          <w:sz w:val="22"/>
          <w:szCs w:val="22"/>
          <w:lang w:val="en-US" w:eastAsia="zh-CN" w:bidi="ar-SA"/>
          <w14:ligatures w14:val="standardContextual"/>
        </w:rPr>
        <w:t>(726,1,96,144)</w:t>
      </w: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。tas 的平均 MSE 从首轮 2.7613 降至 0.2768，下降最明显；pr 从 0.3086 降至 0.2604，DTR 从 0.0600 降至 0.0303，pr90 从 2.6943 降至 2.2920。由于变量量纲和响应幅度不同，训练 MSE 不能直接横向比较，但四项任务的末轮损失均低于首轮，说明 MindSpore 训练链路能够稳定优化模型。</w:t>
      </w:r>
    </w:p>
    <w:p w14:paraId="2633564F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MindSpore 复现结果与论文 Neural Network baseline 对比如下。所有指标均在留出的 SSP245 场景上按 2080-2100 年计算，Spatial 衡量多年平均空间格局，Global 衡量全球均值时间演化，Total 为两者的加权总分，数值越低越好。百分比差值</w:t>
      </w:r>
      <w:r>
        <w:rPr>
          <w:rFonts w:hint="eastAsia"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中负值表示本作业得到的总分更低。</w:t>
      </w:r>
    </w:p>
    <w:tbl>
      <w:tblPr>
        <w:tblStyle w:val="1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5"/>
        <w:gridCol w:w="1280"/>
        <w:gridCol w:w="956"/>
        <w:gridCol w:w="1280"/>
        <w:gridCol w:w="941"/>
        <w:gridCol w:w="1280"/>
        <w:gridCol w:w="988"/>
        <w:gridCol w:w="976"/>
      </w:tblGrid>
      <w:tr w14:paraId="211E1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565392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变量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4FEEEF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MindSpore Spatial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7A3E4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原文 Spatial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6E070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MindSpore Global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B2928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原文 Global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F02C50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MindSpore Total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96A7F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原文 Total</w:t>
            </w:r>
          </w:p>
        </w:tc>
        <w:tc>
          <w:tcPr>
            <w:tcW w:w="1065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56F1C">
            <w:pPr>
              <w:jc w:val="center"/>
              <w:rPr>
                <w:rFonts w:ascii="Times New Roman" w:hAnsi="Times New Roman" w:eastAsia="宋体" w:cs="Times New Roman"/>
                <w:b/>
                <w:sz w:val="22"/>
                <w:szCs w:val="3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32"/>
              </w:rPr>
              <w:t>Total 百分比差值</w:t>
            </w:r>
          </w:p>
        </w:tc>
      </w:tr>
      <w:tr w14:paraId="710DF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491971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tas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23CC76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0.0646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56C1B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0.1073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39469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0.0526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9337B2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0.0440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5137E3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0.3275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93E578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0.3274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0BB27">
            <w:pPr>
              <w:jc w:val="center"/>
              <w:rPr>
                <w:rFonts w:ascii="Times New Roman" w:hAnsi="Times New Roman" w:eastAsia="宋体" w:cs="Times New Roman"/>
                <w:sz w:val="22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+0.02%</w:t>
            </w:r>
          </w:p>
        </w:tc>
      </w:tr>
      <w:tr w14:paraId="2CD902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D671B9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pr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9D9758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2.1815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D1FCB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2.1281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F4A377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0.1683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5DD66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0.2093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ECAB4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3.0231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6AAC17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3.1746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33A783">
            <w:pPr>
              <w:jc w:val="center"/>
              <w:rPr>
                <w:rFonts w:ascii="Times New Roman" w:hAnsi="Times New Roman" w:eastAsia="宋体" w:cs="Times New Roman"/>
                <w:sz w:val="22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-4.77%</w:t>
            </w:r>
          </w:p>
        </w:tc>
      </w:tr>
      <w:tr w14:paraId="36269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5F3FA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DTR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A95A9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8.6731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83CE53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9.9174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F7ACE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1.0709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B1322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1.3722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A58E83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14.0277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A19404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16.7783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82E89A">
            <w:pPr>
              <w:jc w:val="center"/>
              <w:rPr>
                <w:rFonts w:ascii="Times New Roman" w:hAnsi="Times New Roman" w:eastAsia="宋体" w:cs="Times New Roman"/>
                <w:sz w:val="22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-16.39%</w:t>
            </w:r>
          </w:p>
        </w:tc>
      </w:tr>
      <w:tr w14:paraId="44979B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1D9CE8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pr90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F85F8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2.3939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747CDF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2.6102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5E204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0.3190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1CDC70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0.3457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D18085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3.9890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5D2C2">
            <w:pPr>
              <w:jc w:val="center"/>
              <w:rPr>
                <w:rFonts w:ascii="Times New Roman" w:hAnsi="Times New Roman" w:eastAsia="宋体" w:cs="Times New Roman"/>
                <w:sz w:val="36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4.3388</w:t>
            </w:r>
          </w:p>
        </w:tc>
        <w:tc>
          <w:tcPr>
            <w:tcW w:w="106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90844">
            <w:pPr>
              <w:jc w:val="center"/>
              <w:rPr>
                <w:rFonts w:ascii="Times New Roman" w:hAnsi="Times New Roman" w:eastAsia="宋体" w:cs="Times New Roman"/>
                <w:sz w:val="22"/>
                <w:szCs w:val="32"/>
              </w:rPr>
            </w:pPr>
            <w:r>
              <w:rPr>
                <w:rFonts w:ascii="Times New Roman" w:hAnsi="Times New Roman" w:eastAsia="宋体" w:cs="Times New Roman"/>
                <w:sz w:val="22"/>
                <w:szCs w:val="32"/>
              </w:rPr>
              <w:t>-8.06%</w:t>
            </w:r>
          </w:p>
        </w:tc>
      </w:tr>
    </w:tbl>
    <w:p w14:paraId="1083CD38">
      <w:pPr>
        <w:rPr>
          <w:rFonts w:ascii="Times New Roman" w:hAnsi="Times New Roman" w:eastAsia="宋体" w:cs="Times New Roman"/>
          <w:sz w:val="24"/>
        </w:rPr>
      </w:pPr>
    </w:p>
    <w:p w14:paraId="110B6B1D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tas 的总分为 0.3275，与原文 0.3274 几乎一致；其空间误差更低，而全球误差略高，组合后实现了高度接近的总体精度。pr 的总分为 3.0231，较原文降低约 4.8%，改善主要来自全球均值误差下降。DTR 和 pr90 的总分分别为 14.0277 和 3.9890，较原文降低约 16.4% 和 8.1%，空间项和全球项均有所改善。四项总分都达到与论文 baseline 相当的量级，说明 MindSpore 实现保留了 CNN-LSTM 对空间结构和多年滞后的建模能力。由于优化器、LSTM 激活、随机初始化和标准化统计与原实现存在差别，且没有进行多随机种子重复，这些数值不用于证明某一框架更优，而用于说明迁移复现达到了预期精度。</w:t>
      </w:r>
    </w:p>
    <w:p w14:paraId="07DB7D91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图 1 对比 2100 年 SSP245 下 tas 的真实场、预测场和误差场。预测结果正确再现了北半球高纬度显著增暖、北极放大以及北大西洋局地弱增暖或冷异常等主要结构，真值与预测图在大尺度分布上高度一致。误差主要集中于北半球高纬度、南大洋和部分陆地区域，热带及南半球部分区域存在轻微低估，但相对于整体增暖幅度较小，这与 tas 较低的 Spatial NRMSE 一致。</w:t>
      </w:r>
    </w:p>
    <w:p w14:paraId="2833A215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135C32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4C95B621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tas 真值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3413E667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tas 预测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60CCA523">
            <w:pPr>
              <w:spacing w:after="40"/>
              <w:jc w:val="center"/>
              <w:rPr>
                <w:rFonts w:ascii="Times New Roman" w:hAnsi="Times New Roman" w:eastAsia="宋体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tas 误差</w:t>
            </w:r>
          </w:p>
          <w:p w14:paraId="29AAEEB7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（预测减真值）</w:t>
            </w:r>
          </w:p>
        </w:tc>
      </w:tr>
      <w:tr w14:paraId="07A925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C01DFD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2912ED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506EDC0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7B209F">
      <w:pPr>
        <w:rPr>
          <w:rFonts w:ascii="Times New Roman" w:hAnsi="Times New Roman" w:eastAsia="宋体" w:cs="Times New Roman"/>
          <w:sz w:val="24"/>
        </w:rPr>
      </w:pPr>
    </w:p>
    <w:p w14:paraId="29E79D45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  <w:r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  <w:t>图 2 展示更具挑战性的 pr90 结果。模型能够识别极端降水变化主要集中在赤道附近，并重现热带太平洋和印度洋附近的正负异常带，但预测场比真值更平滑，局地峰值强度和位置仍有偏差。误差集中在热带辐合带及其南北两侧，表明极端降水对局地环流、海气耦合和气溶胶影响更敏感，也解释了 pr90 的空间 NRMSE 明显高于 tas。总体而言，可视化结果与定量指标相互印证：模型能够稳定恢复大尺度气候响应，但对降水极值的精细空间结构仍有改进空间。</w:t>
      </w:r>
    </w:p>
    <w:p w14:paraId="77F6EC1C">
      <w:pPr>
        <w:spacing w:line="360" w:lineRule="auto"/>
        <w:ind w:firstLine="480"/>
        <w:jc w:val="both"/>
        <w:rPr>
          <w:rFonts w:ascii="Times New Roman" w:hAnsi="Times New Roman" w:eastAsia="宋体" w:cs="Times New Roman"/>
          <w:kern w:val="2"/>
          <w:sz w:val="24"/>
          <w:szCs w:val="22"/>
          <w:lang w:val="en-US" w:eastAsia="zh-CN" w:bidi="ar-SA"/>
          <w14:ligatures w14:val="standardContextual"/>
        </w:rPr>
      </w:pPr>
    </w:p>
    <w:tbl>
      <w:tblPr>
        <w:tblStyle w:val="15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3A4D87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jc w:val="center"/>
        </w:trPr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B0EC5EC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pr90 真值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51DEA1F4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pr90 预测</w:t>
            </w:r>
          </w:p>
        </w:tc>
        <w:tc>
          <w:tcPr>
            <w:tcW w:w="2769" w:type="dxa"/>
            <w:tcMar>
              <w:top w:w="30" w:type="dxa"/>
              <w:left w:w="40" w:type="dxa"/>
              <w:bottom w:w="30" w:type="dxa"/>
              <w:right w:w="40" w:type="dxa"/>
            </w:tcMar>
          </w:tcPr>
          <w:p w14:paraId="2D6D9F23">
            <w:pPr>
              <w:spacing w:after="40"/>
              <w:jc w:val="center"/>
              <w:rPr>
                <w:rFonts w:ascii="Times New Roman" w:hAnsi="Times New Roman" w:eastAsia="宋体" w:cs="Times New Roman"/>
                <w:b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2100 年 pr90 误差</w:t>
            </w:r>
          </w:p>
          <w:p w14:paraId="4E0DB0E5">
            <w:pPr>
              <w:spacing w:after="40"/>
              <w:jc w:val="center"/>
              <w:rPr>
                <w:rFonts w:ascii="Times New Roman" w:hAnsi="Times New Roman" w:eastAsia="宋体" w:cs="Times New Roman"/>
                <w:sz w:val="22"/>
                <w:szCs w:val="22"/>
              </w:rPr>
            </w:pPr>
            <w:r>
              <w:rPr>
                <w:rFonts w:ascii="Times New Roman" w:hAnsi="Times New Roman" w:eastAsia="宋体" w:cs="Times New Roman"/>
                <w:b/>
                <w:sz w:val="22"/>
                <w:szCs w:val="22"/>
              </w:rPr>
              <w:t>（预测减真值）</w:t>
            </w:r>
          </w:p>
        </w:tc>
      </w:tr>
      <w:tr w14:paraId="070E2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5035C5F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995AFD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69" w:type="dxa"/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B676A01">
            <w:pPr>
              <w:jc w:val="center"/>
              <w:rPr>
                <w:rFonts w:ascii="Times New Roman" w:hAnsi="Times New Roman" w:eastAsia="宋体" w:cs="Times New Roman"/>
                <w:sz w:val="24"/>
              </w:rPr>
            </w:pPr>
            <w:r>
              <w:rPr>
                <w:rFonts w:ascii="Times New Roman" w:hAnsi="Times New Roman" w:eastAsia="宋体" w:cs="Times New Roman"/>
                <w:sz w:val="24"/>
              </w:rPr>
              <w:drawing>
                <wp:inline distT="0" distB="0" distL="0" distR="0">
                  <wp:extent cx="1810385" cy="904875"/>
                  <wp:effectExtent l="0" t="0" r="3175" b="9525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512" cy="9052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EF7FE3">
      <w:pPr>
        <w:rPr>
          <w:rFonts w:ascii="Times New Roman" w:hAnsi="Times New Roman" w:eastAsia="宋体" w:cs="Times New Roman"/>
          <w:sz w:val="24"/>
        </w:rPr>
      </w:pPr>
    </w:p>
    <w:p w14:paraId="1A220803">
      <w:pPr>
        <w:rPr>
          <w:rFonts w:ascii="Times New Roman" w:hAnsi="Times New Roman" w:eastAsia="宋体" w:cs="Times New Roman"/>
          <w:highlight w:val="yellow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264ED4"/>
    <w:multiLevelType w:val="multilevel"/>
    <w:tmpl w:val="6C264ED4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6F3"/>
    <w:rsid w:val="00030615"/>
    <w:rsid w:val="000F2578"/>
    <w:rsid w:val="00174D7C"/>
    <w:rsid w:val="00184324"/>
    <w:rsid w:val="001926F3"/>
    <w:rsid w:val="001A7682"/>
    <w:rsid w:val="00294593"/>
    <w:rsid w:val="002B29F0"/>
    <w:rsid w:val="002C04AC"/>
    <w:rsid w:val="0030158F"/>
    <w:rsid w:val="003171D3"/>
    <w:rsid w:val="003F602A"/>
    <w:rsid w:val="00541480"/>
    <w:rsid w:val="005748C2"/>
    <w:rsid w:val="005F7D81"/>
    <w:rsid w:val="00633A2D"/>
    <w:rsid w:val="006A33CD"/>
    <w:rsid w:val="007465FA"/>
    <w:rsid w:val="007B6EE1"/>
    <w:rsid w:val="00886143"/>
    <w:rsid w:val="009C7870"/>
    <w:rsid w:val="00B1514A"/>
    <w:rsid w:val="00BD1DDF"/>
    <w:rsid w:val="00CB4A67"/>
    <w:rsid w:val="00CD1F60"/>
    <w:rsid w:val="00D061C1"/>
    <w:rsid w:val="00DC0126"/>
    <w:rsid w:val="00E77154"/>
    <w:rsid w:val="00F768A8"/>
    <w:rsid w:val="00FC7DF0"/>
    <w:rsid w:val="00FD7AE2"/>
    <w:rsid w:val="00FF771B"/>
    <w:rsid w:val="05D95903"/>
    <w:rsid w:val="1BA87032"/>
    <w:rsid w:val="25890331"/>
    <w:rsid w:val="6BFC0258"/>
    <w:rsid w:val="6E4C6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8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9">
    <w:name w:val="标题 2 字符"/>
    <w:basedOn w:val="17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标题 3 字符"/>
    <w:basedOn w:val="17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标题 4 字符"/>
    <w:basedOn w:val="17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2">
    <w:name w:val="标题 5 字符"/>
    <w:basedOn w:val="17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3">
    <w:name w:val="标题 6 字符"/>
    <w:basedOn w:val="17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4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7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9 字符"/>
    <w:basedOn w:val="17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7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7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7"/>
    <w:link w:val="12"/>
    <w:uiPriority w:val="99"/>
    <w:rPr>
      <w:sz w:val="18"/>
      <w:szCs w:val="18"/>
    </w:rPr>
  </w:style>
  <w:style w:type="character" w:customStyle="1" w:styleId="37">
    <w:name w:val="页脚 字符"/>
    <w:basedOn w:val="17"/>
    <w:link w:val="11"/>
    <w:uiPriority w:val="99"/>
    <w:rPr>
      <w:sz w:val="18"/>
      <w:szCs w:val="18"/>
    </w:rPr>
  </w:style>
  <w:style w:type="paragraph" w:customStyle="1" w:styleId="38">
    <w:name w:val="Report Body"/>
    <w:uiPriority w:val="0"/>
    <w:pPr>
      <w:spacing w:line="360" w:lineRule="auto"/>
      <w:ind w:firstLine="480"/>
      <w:jc w:val="both"/>
    </w:pPr>
    <w:rPr>
      <w:rFonts w:ascii="Times New Roman" w:hAnsi="Times New Roman" w:eastAsia="宋体" w:cstheme="minorBidi"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39">
    <w:name w:val="Equation"/>
    <w:qFormat/>
    <w:uiPriority w:val="0"/>
    <w:pPr>
      <w:spacing w:before="100" w:after="100"/>
      <w:jc w:val="center"/>
    </w:pPr>
    <w:rPr>
      <w:rFonts w:ascii="Cambria Math" w:hAnsi="Cambria Math" w:eastAsia="Cambria Math" w:cstheme="minorBidi"/>
      <w:kern w:val="2"/>
      <w:sz w:val="22"/>
      <w:szCs w:val="22"/>
      <w:lang w:val="en-US" w:eastAsia="zh-CN" w:bidi="ar-SA"/>
      <w14:ligatures w14:val="standardContextual"/>
    </w:rPr>
  </w:style>
  <w:style w:type="paragraph" w:customStyle="1" w:styleId="40">
    <w:name w:val="Report Heading 1"/>
    <w:uiPriority w:val="0"/>
    <w:pPr>
      <w:keepNext/>
      <w:spacing w:before="240" w:after="120"/>
    </w:pPr>
    <w:rPr>
      <w:rFonts w:ascii="Times New Roman" w:hAnsi="Times New Roman" w:eastAsia="黑体" w:cstheme="minorBidi"/>
      <w:b/>
      <w:kern w:val="2"/>
      <w:sz w:val="28"/>
      <w:szCs w:val="22"/>
      <w:lang w:val="en-US" w:eastAsia="zh-CN" w:bidi="ar-SA"/>
      <w14:ligatures w14:val="standardContextual"/>
    </w:rPr>
  </w:style>
  <w:style w:type="paragraph" w:customStyle="1" w:styleId="41">
    <w:name w:val="Report Reference"/>
    <w:uiPriority w:val="0"/>
    <w:pPr>
      <w:spacing w:after="60" w:line="288" w:lineRule="auto"/>
      <w:ind w:left="420" w:hanging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  <w14:ligatures w14:val="standardContextual"/>
    </w:rPr>
  </w:style>
  <w:style w:type="paragraph" w:customStyle="1" w:styleId="42">
    <w:name w:val="Report Heading 2"/>
    <w:uiPriority w:val="0"/>
    <w:pPr>
      <w:keepNext/>
      <w:spacing w:before="160" w:after="80"/>
    </w:pPr>
    <w:rPr>
      <w:rFonts w:ascii="Times New Roman" w:hAnsi="Times New Roman" w:eastAsia="黑体" w:cstheme="minorBidi"/>
      <w:b/>
      <w:kern w:val="2"/>
      <w:sz w:val="24"/>
      <w:szCs w:val="22"/>
      <w:lang w:val="en-US" w:eastAsia="zh-CN" w:bidi="ar-SA"/>
      <w14:ligatures w14:val="standardContextual"/>
    </w:rPr>
  </w:style>
  <w:style w:type="paragraph" w:customStyle="1" w:styleId="43">
    <w:name w:val="Report Code"/>
    <w:uiPriority w:val="0"/>
    <w:pPr>
      <w:spacing w:before="60" w:after="120"/>
      <w:ind w:left="240" w:right="240"/>
    </w:pPr>
    <w:rPr>
      <w:rFonts w:ascii="Consolas" w:hAnsi="Consolas" w:eastAsia="Consolas" w:cstheme="minorBidi"/>
      <w:kern w:val="2"/>
      <w:sz w:val="18"/>
      <w:szCs w:val="22"/>
      <w:lang w:val="en-US" w:eastAsia="zh-CN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1288</Words>
  <Characters>1574</Characters>
  <Lines>3</Lines>
  <Paragraphs>1</Paragraphs>
  <TotalTime>8</TotalTime>
  <ScaleCrop>false</ScaleCrop>
  <LinksUpToDate>false</LinksUpToDate>
  <CharactersWithSpaces>1638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2025-05-22T07:38:00Z</dcterms:created>
  <dc:creator>崇涵 高</dc:creator>
  <cp:lastModifiedBy>wasd</cp:lastModifiedBy>
  <dcterms:modified xsi:type="dcterms:W3CDTF">2026-06-21T04:47:17Z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eyJoZGlkIjoiYTI4ZTcyZDkwYjdjODI5OTU2Y2JhNTJhNzdlZDkwYWYiLCJ1c2VySWQiOiI2Njk3MDM0NzIifQ==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C37521AB28134201B4EF1DBF2D1ADFD3_12</vt:lpwstr>
  </property>
</Properties>
</file>