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8F4D5B">
      <w:pPr>
        <w:jc w:val="center"/>
        <w:rPr>
          <w:rFonts w:hint="eastAsia" w:ascii="黑体" w:hAnsi="黑体" w:eastAsia="黑体" w:cs="Times New Roman"/>
          <w:sz w:val="36"/>
          <w:szCs w:val="40"/>
        </w:rPr>
      </w:pPr>
      <w:r>
        <w:rPr>
          <w:rFonts w:hint="eastAsia" w:ascii="黑体" w:hAnsi="黑体" w:eastAsia="黑体" w:cs="Times New Roman"/>
          <w:sz w:val="36"/>
          <w:szCs w:val="40"/>
        </w:rPr>
        <w:t>《AI学习框架与科学计算》</w:t>
      </w:r>
    </w:p>
    <w:p w14:paraId="04975C6D">
      <w:pPr>
        <w:jc w:val="center"/>
        <w:rPr>
          <w:rFonts w:hint="eastAsia" w:ascii="黑体" w:hAnsi="黑体" w:eastAsia="黑体" w:cs="Times New Roman"/>
          <w:sz w:val="36"/>
          <w:szCs w:val="40"/>
        </w:rPr>
      </w:pPr>
      <w:r>
        <w:rPr>
          <w:rFonts w:hint="eastAsia" w:ascii="黑体" w:hAnsi="黑体" w:eastAsia="黑体" w:cs="Times New Roman"/>
          <w:sz w:val="36"/>
          <w:szCs w:val="40"/>
        </w:rPr>
        <w:t>课程大作业</w:t>
      </w:r>
      <w:r>
        <w:rPr>
          <w:rFonts w:ascii="黑体" w:hAnsi="黑体" w:eastAsia="黑体" w:cs="Times New Roman"/>
          <w:sz w:val="36"/>
          <w:szCs w:val="40"/>
        </w:rPr>
        <w:t>报告</w:t>
      </w:r>
    </w:p>
    <w:p w14:paraId="3DC17633">
      <w:pPr>
        <w:pStyle w:val="31"/>
        <w:numPr>
          <w:ilvl w:val="0"/>
          <w:numId w:val="1"/>
        </w:numPr>
        <w:rPr>
          <w:rFonts w:cs="Times New Roman"/>
          <w:sz w:val="28"/>
          <w:szCs w:val="32"/>
        </w:rPr>
      </w:pPr>
      <w:r>
        <w:rPr>
          <w:rFonts w:cs="Times New Roman"/>
          <w:sz w:val="28"/>
          <w:szCs w:val="32"/>
        </w:rPr>
        <w:t>小组基础信息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8"/>
        <w:gridCol w:w="5984"/>
      </w:tblGrid>
      <w:tr w14:paraId="428D1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E049A2">
            <w:pPr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>小组队名</w:t>
            </w:r>
          </w:p>
        </w:tc>
        <w:tc>
          <w:tcPr>
            <w:tcW w:w="5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75B427">
            <w:r>
              <w:rPr>
                <w:rFonts w:cs="Times New Roman"/>
                <w:sz w:val="21"/>
              </w:rPr>
              <w:t>ClimateBench-MindSpore</w:t>
            </w:r>
          </w:p>
        </w:tc>
      </w:tr>
      <w:tr w14:paraId="0FED2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AC26BF">
            <w:pPr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sz w:val="21"/>
              </w:rPr>
              <w:t>小组成员</w:t>
            </w:r>
            <w:r>
              <w:rPr>
                <w:rFonts w:cs="Times New Roman"/>
                <w:color w:val="000000" w:themeColor="text1"/>
                <w:sz w:val="21"/>
                <w:szCs w:val="18"/>
                <w14:textFill>
                  <w14:solidFill>
                    <w14:schemeClr w14:val="tx1"/>
                  </w14:solidFill>
                </w14:textFill>
              </w:rPr>
              <w:t>（姓名+学号）队长加粗</w:t>
            </w:r>
          </w:p>
        </w:tc>
        <w:tc>
          <w:tcPr>
            <w:tcW w:w="5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573731">
            <w:pPr>
              <w:rPr>
                <w:rFonts w:cs="Times New Roman"/>
              </w:rPr>
            </w:pPr>
          </w:p>
        </w:tc>
      </w:tr>
      <w:tr w14:paraId="5E09C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5AC6D0">
            <w:pPr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>科学任务</w:t>
            </w:r>
            <w:r>
              <w:rPr>
                <w:rFonts w:cs="Times New Roman"/>
                <w:color w:val="000000" w:themeColor="text1"/>
                <w:sz w:val="21"/>
                <w:szCs w:val="18"/>
                <w14:textFill>
                  <w14:solidFill>
                    <w14:schemeClr w14:val="tx1"/>
                  </w14:solidFill>
                </w14:textFill>
              </w:rPr>
              <w:t>（一句话提炼，例如“DeepOnet求解常微分方程”）</w:t>
            </w:r>
          </w:p>
        </w:tc>
        <w:tc>
          <w:tcPr>
            <w:tcW w:w="5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89E457">
            <w:r>
              <w:rPr>
                <w:rFonts w:cs="Times New Roman"/>
                <w:sz w:val="21"/>
              </w:rPr>
              <w:t>基于 CNN-LSTM 的全球气候响应时空预测</w:t>
            </w:r>
          </w:p>
        </w:tc>
      </w:tr>
      <w:tr w14:paraId="113FC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678FCC">
            <w:pPr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>论文标题</w:t>
            </w:r>
          </w:p>
        </w:tc>
        <w:tc>
          <w:tcPr>
            <w:tcW w:w="5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045BBB">
            <w:r>
              <w:rPr>
                <w:rFonts w:cs="Times New Roman"/>
                <w:sz w:val="21"/>
              </w:rPr>
              <w:t>ClimateBench v1.0: A benchmark for data-driven climate projections</w:t>
            </w:r>
          </w:p>
        </w:tc>
      </w:tr>
      <w:tr w14:paraId="73F56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D5B75E">
            <w:pPr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>科学领域</w:t>
            </w:r>
            <w:r>
              <w:rPr>
                <w:rFonts w:cs="Times New Roman"/>
                <w:color w:val="000000" w:themeColor="text1"/>
                <w:sz w:val="21"/>
                <w:szCs w:val="18"/>
                <w14:textFill>
                  <w14:solidFill>
                    <w14:schemeClr w14:val="tx1"/>
                  </w14:solidFill>
                </w14:textFill>
              </w:rPr>
              <w:t>（时序、流体、生物…）</w:t>
            </w:r>
          </w:p>
        </w:tc>
        <w:tc>
          <w:tcPr>
            <w:tcW w:w="5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E875A0">
            <w:r>
              <w:rPr>
                <w:rFonts w:cs="Times New Roman"/>
                <w:sz w:val="21"/>
              </w:rPr>
              <w:t>气候科学、时空预测</w:t>
            </w:r>
          </w:p>
        </w:tc>
      </w:tr>
    </w:tbl>
    <w:p w14:paraId="291F12FF">
      <w:pPr>
        <w:pStyle w:val="38"/>
        <w:pageBreakBefore/>
      </w:pPr>
      <w:r>
        <w:rPr>
          <w:rFonts w:eastAsia="宋体" w:cs="Times New Roman"/>
        </w:rPr>
        <w:t>1. 背景介绍</w:t>
      </w:r>
    </w:p>
    <w:p w14:paraId="28287769">
      <w:pPr>
        <w:pStyle w:val="40"/>
      </w:pPr>
      <w:r>
        <w:rPr>
          <w:rFonts w:cs="Times New Roman"/>
        </w:rPr>
        <w:t>为评估不同减排政策的长期影响，研究人员需要回答一个核心问题：在给定二氧化碳、甲烷和气溶胶等人为排放路径后，未来全球及各区域的气候将如何变化。完整地球系统模式（Earth System Model, ESM）能够通过大气、海洋、陆地、海冰和生物地球化学过程的耦合计算给出较可靠的预测，是气候研究的重要工具。然而，这类模式计算量巨大，一次百年尺度模拟便需要大量算力和时间，因此只能覆盖少数共享社会经济路径（SSP），难以充分搜索可能的排放情景空间，也不便用于政策优化、敏感性分析和不确定性量化。</w:t>
      </w:r>
    </w:p>
    <w:p w14:paraId="3379C885">
      <w:pPr>
        <w:pStyle w:val="40"/>
      </w:pPr>
      <w:r>
        <w:rPr>
          <w:rFonts w:cs="Times New Roman"/>
        </w:rPr>
        <w:t>传统替代方法主要包括脉冲响应模型和模式缩放。前者物理含义清晰，但通常只能预测全球平均响应，难以刻画区域差异；后者依据全球平均温升缩放空间分布，对近似线性的温度变化较有效，却难以表示降水等变量的非线性响应，也常忽略硫酸盐气溶胶和黑碳造成的区域影响。机器学习气候仿真器则可从地球系统模式的历史模拟中学习“外部强迫到气候响应”的映射，以远低于 ESM 的成本快速生成全球格点预测。</w:t>
      </w:r>
    </w:p>
    <w:p w14:paraId="620E53D5">
      <w:pPr>
        <w:pStyle w:val="40"/>
      </w:pPr>
      <w:r>
        <w:rPr>
          <w:rFonts w:cs="Times New Roman"/>
        </w:rPr>
        <w:t>ClimateBench 为该任务提供了统一的数据集、训练测试划分和评价指标。数据来自 NorESM2 地球系统模式，输入包括累计 CO2 排放、CH4 排放以及具有空间分布的 SO2 和黑碳排放，输出包括近地表气温、日较差、平均降水和极端降水四类年平均异常场。该任务的主要挑战在于：训练样本有限且相邻年份高度相关；不同强迫具有不同时间尺度和空间效应；降水及极端事件响应非线性强；自然内部变率会给监督信号引入噪声；模型既要正确预测全球变化趋势，又要保留北极放大、热带辐合带移动等区域结构。本作业使用 MindSpore 复现 CNN-LSTM 基线，以卷积网络提取空间特征，并利用 LSTM 表示气候对多年强迫的滞后响应。</w:t>
      </w:r>
    </w:p>
    <w:p w14:paraId="5AB2F116">
      <w:pPr>
        <w:pStyle w:val="38"/>
      </w:pPr>
      <w:r>
        <w:rPr>
          <w:rFonts w:eastAsia="宋体" w:cs="Times New Roman"/>
        </w:rPr>
        <w:t>2. 问题定义</w:t>
      </w:r>
    </w:p>
    <w:p w14:paraId="1DD7C99D">
      <w:pPr>
        <w:pStyle w:val="40"/>
      </w:pPr>
      <w:r>
        <w:rPr>
          <w:rFonts w:cs="Times New Roman"/>
        </w:rPr>
        <w:t xml:space="preserve">ClimateBench 可形式化为一个时空监督回归问题。设第 </w:t>
      </w:r>
      <w:r>
        <w:rPr>
          <w:rFonts w:ascii="Cambria Math" w:hAnsi="Cambria Math" w:eastAsia="Cambria Math" w:cs="Cambria Math"/>
        </w:rPr>
        <w:t>t</w:t>
      </w:r>
      <w:r>
        <w:rPr>
          <w:rFonts w:cs="Times New Roman"/>
        </w:rPr>
        <w:t xml:space="preserve"> 年的外部强迫为 </w:t>
      </w:r>
      <m:oMath>
        <m:sSub>
          <m:sSubPr>
            <m:ctrlPr>
              <w:rPr>
                <w:rFonts w:hint="default" w:ascii="Cambria Math" w:hAnsi="Cambria Math" w:eastAsia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Cambria Math"/>
                <w:sz w:val="24"/>
              </w:rPr>
              <m:t>X</m:t>
            </m:r>
            <m:ctrlPr>
              <w:rPr>
                <w:rFonts w:ascii="Cambria Math" w:hAnsi="Cambria Math" w:eastAsia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Cambria Math"/>
                <w:sz w:val="24"/>
              </w:rPr>
              <m:t>t</m:t>
            </m:r>
            <m:ctrlPr>
              <w:rPr>
                <w:rFonts w:ascii="Cambria Math" w:hAnsi="Cambria Math" w:eastAsia="Cambria Math"/>
                <w:sz w:val="24"/>
              </w:rPr>
            </m:ctrlPr>
          </m:sub>
        </m:sSub>
        <m:r>
          <m:rPr/>
          <w:rPr>
            <w:rFonts w:hint="default" w:ascii="Cambria Math" w:hAnsi="Cambria Math" w:eastAsia="Cambria Math"/>
            <w:sz w:val="24"/>
          </w:rPr>
          <m:t>∈</m:t>
        </m:r>
        <m:sSup>
          <m:sSupPr>
            <m:ctrlPr>
              <w:rPr>
                <w:rFonts w:hint="default" w:ascii="Cambria Math" w:hAnsi="Cambria Math" w:eastAsia="Cambria Math"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Cambria Math"/>
                <w:sz w:val="24"/>
              </w:rPr>
              <m:t>ℝ</m:t>
            </m:r>
            <m:ctrlPr>
              <w:rPr>
                <w:rFonts w:ascii="Cambria Math" w:hAnsi="Cambria Math" w:eastAsia="Cambria Math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Cambria Math"/>
                <w:sz w:val="24"/>
              </w:rPr>
              <m:t>H×W×C</m:t>
            </m:r>
            <m:ctrlPr>
              <w:rPr>
                <w:rFonts w:ascii="Cambria Math" w:hAnsi="Cambria Math" w:eastAsia="Cambria Math"/>
                <w:sz w:val="24"/>
              </w:rPr>
            </m:ctrlPr>
          </m:sup>
        </m:sSup>
      </m:oMath>
      <w:r>
        <w:rPr>
          <w:rFonts w:cs="Times New Roman"/>
        </w:rPr>
        <w:t xml:space="preserve">，其中 </w:t>
      </w:r>
      <w:r>
        <w:rPr>
          <w:rFonts w:ascii="Cambria Math" w:hAnsi="Cambria Math" w:eastAsia="Cambria Math" w:cs="Cambria Math"/>
        </w:rPr>
        <w:t>H=96</w:t>
      </w:r>
      <w:r>
        <w:rPr>
          <w:rFonts w:cs="Times New Roman"/>
        </w:rPr>
        <w:t>、</w:t>
      </w:r>
      <w:r>
        <w:rPr>
          <w:rFonts w:ascii="Cambria Math" w:hAnsi="Cambria Math" w:eastAsia="Cambria Math" w:cs="Cambria Math"/>
        </w:rPr>
        <w:t>W=144</w:t>
      </w:r>
      <w:r>
        <w:rPr>
          <w:rFonts w:cs="Times New Roman"/>
        </w:rPr>
        <w:t>、</w:t>
      </w:r>
      <w:r>
        <w:rPr>
          <w:rFonts w:ascii="Cambria Math" w:hAnsi="Cambria Math" w:eastAsia="Cambria Math" w:cs="Cambria Math"/>
        </w:rPr>
        <w:t>C=4</w:t>
      </w:r>
      <w:r>
        <w:rPr>
          <w:rFonts w:cs="Times New Roman"/>
        </w:rPr>
        <w:t xml:space="preserve">，四个通道依次表示 CO2、CH4、SO2 和黑碳。CO2 与 CH4 原本是全球时间序列，输入模型前广播到全部格点；SO2 与黑碳保留其经纬度分布。为表示气候系统的滞后效应，模型使用长度为 </w:t>
      </w:r>
      <w:r>
        <w:rPr>
          <w:rFonts w:ascii="Cambria Math" w:hAnsi="Cambria Math" w:eastAsia="Cambria Math" w:cs="Cambria Math"/>
        </w:rPr>
        <w:t>L=10</w:t>
      </w:r>
      <w:r>
        <w:rPr>
          <w:rFonts w:cs="Times New Roman"/>
        </w:rPr>
        <w:t xml:space="preserve"> 年的滑动窗口：</w:t>
      </w:r>
    </w:p>
    <w:p w14:paraId="7A5E3FBC">
      <w:pPr>
        <w:pStyle w:val="43"/>
      </w:pPr>
      <m:oMathPara>
        <m:oMath>
          <m:sSub>
            <m:sSubPr>
              <m:ctrlPr>
                <w:rPr>
                  <w:rFonts w:cs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cs="Cambria Math"/>
                </w:rPr>
                <m:t>X</m:t>
              </m:r>
              <m:ctrlPr>
                <w:rPr>
                  <w:rFonts w:cs="Cambria Math"/>
                  <w:i/>
                </w:rPr>
              </m:ctrlPr>
            </m:e>
            <m:sub>
              <m:r>
                <m:rPr/>
                <w:rPr>
                  <w:rFonts w:cs="Cambria Math"/>
                </w:rPr>
                <m:t>t</m:t>
              </m:r>
              <m:ctrlPr>
                <w:rPr>
                  <w:rFonts w:cs="Cambria Math"/>
                  <w:i/>
                </w:rPr>
              </m:ctrlPr>
            </m:sub>
          </m:sSub>
          <m:r>
            <m:rPr/>
            <w:rPr>
              <w:rFonts w:cs="Cambria Math"/>
            </w:rPr>
            <m:t>=</m:t>
          </m:r>
          <m:d>
            <m:dPr>
              <m:ctrlPr>
                <w:rPr>
                  <w:rFonts w:cs="Cambria Math"/>
                  <w:i/>
                </w:rPr>
              </m:ctrlPr>
            </m:dPr>
            <m:e>
              <m:sSub>
                <m:sSubPr>
                  <m:ctrlPr>
                    <w:rPr>
                      <w:rFonts w:cs="Cambria Math"/>
                      <w:i/>
                    </w:rPr>
                  </m:ctrlPr>
                </m:sSubPr>
                <m:e>
                  <m:r>
                    <m:rPr/>
                    <w:rPr>
                      <w:rFonts w:cs="Cambria Math"/>
                    </w:rPr>
                    <m:t>X</m:t>
                  </m:r>
                  <m:ctrlPr>
                    <w:rPr>
                      <w:rFonts w:cs="Cambria Math"/>
                      <w:i/>
                    </w:rPr>
                  </m:ctrlPr>
                </m:e>
                <m:sub>
                  <m:r>
                    <m:rPr/>
                    <w:rPr>
                      <w:rFonts w:cs="Cambria Math"/>
                    </w:rPr>
                    <m:t>t−L+1</m:t>
                  </m:r>
                  <m:ctrlPr>
                    <w:rPr>
                      <w:rFonts w:cs="Cambria Math"/>
                      <w:i/>
                    </w:rPr>
                  </m:ctrlPr>
                </m:sub>
              </m:sSub>
              <m:r>
                <m:rPr/>
                <w:rPr>
                  <w:rFonts w:cs="Cambria Math"/>
                </w:rPr>
                <m:t>,…,</m:t>
              </m:r>
              <m:sSub>
                <m:sSubPr>
                  <m:ctrlPr>
                    <w:rPr>
                      <w:rFonts w:cs="Cambria Math"/>
                      <w:i/>
                    </w:rPr>
                  </m:ctrlPr>
                </m:sSubPr>
                <m:e>
                  <m:r>
                    <m:rPr/>
                    <w:rPr>
                      <w:rFonts w:cs="Cambria Math"/>
                    </w:rPr>
                    <m:t>X</m:t>
                  </m:r>
                  <m:ctrlPr>
                    <w:rPr>
                      <w:rFonts w:cs="Cambria Math"/>
                      <w:i/>
                    </w:rPr>
                  </m:ctrlPr>
                </m:e>
                <m:sub>
                  <m:r>
                    <m:rPr/>
                    <w:rPr>
                      <w:rFonts w:cs="Cambria Math"/>
                    </w:rPr>
                    <m:t>t</m:t>
                  </m:r>
                  <m:ctrlPr>
                    <w:rPr>
                      <w:rFonts w:cs="Cambria Math"/>
                      <w:i/>
                    </w:rPr>
                  </m:ctrlPr>
                </m:sub>
              </m:sSub>
              <m:ctrlPr>
                <w:rPr>
                  <w:rFonts w:cs="Cambria Math"/>
                  <w:i/>
                </w:rPr>
              </m:ctrlPr>
            </m:e>
          </m:d>
          <m:r>
            <m:rPr/>
            <w:rPr>
              <w:rFonts w:cs="Cambria Math"/>
            </w:rPr>
            <m:t>∈</m:t>
          </m:r>
          <m:sSup>
            <m:sSupPr>
              <m:ctrlPr>
                <w:rPr>
                  <w:rFonts w:cs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cs="Cambria Math"/>
                </w:rPr>
                <m:t>ℝ</m:t>
              </m:r>
              <m:ctrlPr>
                <w:rPr>
                  <w:rFonts w:cs="Cambria Math"/>
                  <w:i/>
                </w:rPr>
              </m:ctrlPr>
            </m:e>
            <m:sup>
              <m:r>
                <m:rPr/>
                <w:rPr>
                  <w:rFonts w:cs="Cambria Math"/>
                </w:rPr>
                <m:t>L×H×W×C</m:t>
              </m:r>
              <m:ctrlPr>
                <w:rPr>
                  <w:rFonts w:cs="Cambria Math"/>
                  <w:i/>
                </w:rPr>
              </m:ctrlPr>
            </m:sup>
          </m:sSup>
        </m:oMath>
      </m:oMathPara>
    </w:p>
    <w:p w14:paraId="0CBFF5E1">
      <w:pPr>
        <w:pStyle w:val="40"/>
      </w:pPr>
      <w:r>
        <w:rPr>
          <w:rFonts w:cs="Times New Roman"/>
        </w:rPr>
        <w:t xml:space="preserve">对于气候变量 </w:t>
      </w:r>
      <m:oMath>
        <m:r>
          <m:rPr/>
          <w:rPr>
            <w:rFonts w:hint="default" w:ascii="Cambria Math" w:hAnsi="Cambria Math" w:eastAsia="Cambria Math"/>
            <w:sz w:val="24"/>
          </w:rPr>
          <m:t>v∈{tas,DTR,pr,pr90}</m:t>
        </m:r>
      </m:oMath>
      <w:r>
        <w:rPr>
          <w:rFonts w:cs="Times New Roman"/>
        </w:rPr>
        <w:t xml:space="preserve">，目标为 NorESM2 在第 </w:t>
      </w:r>
      <w:r>
        <w:rPr>
          <w:rFonts w:ascii="Cambria Math" w:hAnsi="Cambria Math" w:eastAsia="Cambria Math" w:cs="Cambria Math"/>
        </w:rPr>
        <w:t>t</w:t>
      </w:r>
      <w:r>
        <w:rPr>
          <w:rFonts w:cs="Times New Roman"/>
        </w:rPr>
        <w:t xml:space="preserve"> 年相对于工业化前控制试验气候态的异常场</w:t>
      </w:r>
      <m:oMath>
        <m:sSubSup>
          <m:sSubSupPr>
            <m:ctrlPr>
              <w:rPr>
                <w:rFonts w:hint="default" w:ascii="Cambria Math" w:hAnsi="Cambria Math"/>
                <w:sz w:val="24"/>
              </w:rPr>
            </m:ctrlPr>
          </m:sSubSupPr>
          <m:e>
            <m:r>
              <m:rPr/>
              <w:rPr>
                <w:rFonts w:hint="default" w:ascii="Cambria Math" w:hAnsi="Cambria Math"/>
                <w:sz w:val="24"/>
              </w:rPr>
              <m:t>Y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t</m:t>
            </m:r>
            <m:ctrlPr>
              <w:rPr>
                <w:rFonts w:ascii="Cambria Math" w:hAnsi="Cambria Math"/>
                <w:sz w:val="24"/>
              </w:rPr>
            </m:ctrlPr>
          </m:sub>
          <m:sup>
            <m:r>
              <m:rPr/>
              <w:rPr>
                <w:rFonts w:hint="default" w:ascii="Cambria Math" w:hAnsi="Cambria Math"/>
                <w:sz w:val="24"/>
              </w:rPr>
              <m:t>(v)</m:t>
            </m:r>
            <m:ctrlPr>
              <w:rPr>
                <w:rFonts w:ascii="Cambria Math" w:hAnsi="Cambria Math"/>
                <w:sz w:val="24"/>
              </w:rPr>
            </m:ctrlPr>
          </m:sup>
        </m:sSubSup>
        <m:r>
          <m:rPr/>
          <w:rPr>
            <w:rFonts w:hint="default" w:ascii="Cambria Math" w:hAnsi="Cambria Math"/>
            <w:sz w:val="24"/>
          </w:rPr>
          <m:t>∈</m:t>
        </m:r>
        <m:sSup>
          <m:sSupPr>
            <m:ctrlPr>
              <w:rPr>
                <w:rFonts w:hint="default" w:ascii="Cambria Math" w:hAnsi="Cambria Math"/>
                <w:sz w:val="24"/>
              </w:rPr>
            </m:ctrlPr>
          </m:sSupPr>
          <m:e>
            <m:r>
              <m:rPr/>
              <w:rPr>
                <w:rFonts w:hint="default" w:ascii="Cambria Math" w:hAnsi="Cambria Math"/>
                <w:sz w:val="24"/>
              </w:rPr>
              <m:t>ℝ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</w:rPr>
              <m:t>H×W</m:t>
            </m:r>
            <m:ctrlPr>
              <w:rPr>
                <w:rFonts w:ascii="Cambria Math" w:hAnsi="Cambria Math"/>
                <w:sz w:val="24"/>
              </w:rPr>
            </m:ctrlPr>
          </m:sup>
        </m:sSup>
      </m:oMath>
      <w:r>
        <w:rPr>
          <w:rFonts w:cs="Times New Roman"/>
        </w:rPr>
        <w:t>。三个集合成员的结果先取平均，以减弱内部变率。模型</w:t>
      </w:r>
      <w:r>
        <w:rPr>
          <w:rFonts w:hint="eastAsia" w:cs="Times New Roman"/>
          <w:lang w:val="en-US" w:eastAsia="zh-CN"/>
        </w:rPr>
        <w:t xml:space="preserve"> </w:t>
      </w:r>
      <m:oMath>
        <m:sSubSup>
          <m:sSubSupPr>
            <m:ctrlPr>
              <w:rPr>
                <w:rFonts w:hint="default" w:ascii="Cambria Math" w:hAnsi="Cambria Math"/>
                <w:sz w:val="24"/>
              </w:rPr>
            </m:ctrlPr>
          </m:sSubSupPr>
          <m:e>
            <m:r>
              <m:rPr/>
              <w:rPr>
                <w:rFonts w:hint="default" w:ascii="Cambria Math" w:hAnsi="Cambria Math"/>
                <w:sz w:val="24"/>
              </w:rPr>
              <m:t>f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θ</m:t>
            </m:r>
            <m:ctrlPr>
              <w:rPr>
                <w:rFonts w:ascii="Cambria Math" w:hAnsi="Cambria Math"/>
                <w:sz w:val="24"/>
              </w:rPr>
            </m:ctrlPr>
          </m:sub>
          <m:sup>
            <m:r>
              <m:rPr/>
              <w:rPr>
                <w:rFonts w:hint="default" w:ascii="Cambria Math" w:hAnsi="Cambria Math"/>
                <w:sz w:val="24"/>
              </w:rPr>
              <m:t>(v)</m:t>
            </m:r>
            <m:ctrlPr>
              <w:rPr>
                <w:rFonts w:ascii="Cambria Math" w:hAnsi="Cambria Math"/>
                <w:sz w:val="24"/>
              </w:rPr>
            </m:ctrlPr>
          </m:sup>
        </m:sSubSup>
      </m:oMath>
      <w:r>
        <w:rPr>
          <w:rFonts w:cs="Times New Roman"/>
        </w:rPr>
        <w:t xml:space="preserve"> 学习映射</w:t>
      </w:r>
    </w:p>
    <w:p w14:paraId="3B485F7A">
      <w:pPr>
        <w:pStyle w:val="43"/>
      </w:pPr>
      <m:oMathPara>
        <m:oMath>
          <m:sSubSup>
            <m:sSubSupPr>
              <m:ctrlPr>
                <w:rPr>
                  <w:rFonts w:cs="Cambria Math"/>
                  <w:i/>
                </w:rPr>
              </m:ctrlPr>
            </m:sSubSupPr>
            <m:e>
              <m:r>
                <m:rPr/>
                <w:rPr>
                  <w:rFonts w:cs="Cambria Math"/>
                </w:rPr>
                <m:t>Ŷ</m:t>
              </m:r>
              <m:ctrlPr>
                <w:rPr>
                  <w:rFonts w:cs="Cambria Math"/>
                  <w:i/>
                </w:rPr>
              </m:ctrlPr>
            </m:e>
            <m:sub>
              <m:r>
                <m:rPr/>
                <w:rPr>
                  <w:rFonts w:cs="Cambria Math"/>
                </w:rPr>
                <m:t>t</m:t>
              </m:r>
              <m:ctrlPr>
                <w:rPr>
                  <w:rFonts w:cs="Cambria Math"/>
                  <w:i/>
                </w:rPr>
              </m:ctrlPr>
            </m:sub>
            <m:sup>
              <m:r>
                <m:rPr/>
                <w:rPr>
                  <w:rFonts w:cs="Cambria Math"/>
                </w:rPr>
                <m:t>v</m:t>
              </m:r>
              <m:ctrlPr>
                <w:rPr>
                  <w:rFonts w:cs="Cambria Math"/>
                  <w:i/>
                </w:rPr>
              </m:ctrlPr>
            </m:sup>
          </m:sSubSup>
          <m:r>
            <m:rPr/>
            <w:rPr>
              <w:rFonts w:cs="Cambria Math"/>
            </w:rPr>
            <m:t>=</m:t>
          </m:r>
          <m:sSubSup>
            <m:sSubSupPr>
              <m:ctrlPr>
                <w:rPr>
                  <w:rFonts w:cs="Cambria Math"/>
                  <w:i/>
                </w:rPr>
              </m:ctrlPr>
            </m:sSubSupPr>
            <m:e>
              <m:r>
                <m:rPr/>
                <w:rPr>
                  <w:rFonts w:cs="Cambria Math"/>
                </w:rPr>
                <m:t>f</m:t>
              </m:r>
              <m:ctrlPr>
                <w:rPr>
                  <w:rFonts w:cs="Cambria Math"/>
                  <w:i/>
                </w:rPr>
              </m:ctrlPr>
            </m:e>
            <m:sub>
              <m:r>
                <m:rPr/>
                <w:rPr>
                  <w:rFonts w:cs="Cambria Math"/>
                </w:rPr>
                <m:t>θ</m:t>
              </m:r>
              <m:ctrlPr>
                <w:rPr>
                  <w:rFonts w:cs="Cambria Math"/>
                  <w:i/>
                </w:rPr>
              </m:ctrlPr>
            </m:sub>
            <m:sup>
              <m:d>
                <m:dPr>
                  <m:ctrlPr>
                    <w:rPr>
                      <w:rFonts w:cs="Cambria Math"/>
                      <w:i/>
                    </w:rPr>
                  </m:ctrlPr>
                </m:dPr>
                <m:e>
                  <m:r>
                    <m:rPr/>
                    <w:rPr>
                      <w:rFonts w:cs="Cambria Math"/>
                    </w:rPr>
                    <m:t>v</m:t>
                  </m:r>
                  <m:ctrlPr>
                    <w:rPr>
                      <w:rFonts w:cs="Cambria Math"/>
                      <w:i/>
                    </w:rPr>
                  </m:ctrlPr>
                </m:e>
              </m:d>
              <m:d>
                <m:dPr>
                  <m:ctrlPr>
                    <w:rPr>
                      <w:rFonts w:cs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cs="Cambria Math"/>
                          <w:i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cs="Cambria Math"/>
                        </w:rPr>
                        <m:t>X</m:t>
                      </m:r>
                      <m:ctrlPr>
                        <w:rPr>
                          <w:rFonts w:cs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cs="Cambria Math"/>
                        </w:rPr>
                        <m:t>t</m:t>
                      </m:r>
                      <m:ctrlPr>
                        <w:rPr>
                          <w:rFonts w:cs="Cambria Math"/>
                          <w:i/>
                        </w:rPr>
                      </m:ctrlPr>
                    </m:sub>
                  </m:sSub>
                  <m:ctrlPr>
                    <w:rPr>
                      <w:rFonts w:cs="Cambria Math"/>
                      <w:i/>
                    </w:rPr>
                  </m:ctrlPr>
                </m:e>
              </m:d>
              <m:ctrlPr>
                <w:rPr>
                  <w:rFonts w:cs="Cambria Math"/>
                  <w:i/>
                </w:rPr>
              </m:ctrlPr>
            </m:sup>
          </m:sSubSup>
        </m:oMath>
      </m:oMathPara>
    </w:p>
    <w:p w14:paraId="6283A1A3">
      <w:pPr>
        <w:pStyle w:val="40"/>
      </w:pPr>
      <w:r>
        <w:rPr>
          <w:rFonts w:cs="Times New Roman"/>
        </w:rPr>
        <w:t>四个变量分别训练，参数通过最小化训练样本上的均方误差获得：</w:t>
      </w:r>
    </w:p>
    <w:p w14:paraId="6EDCCDA4">
      <w:pPr>
        <w:pStyle w:val="43"/>
      </w:pPr>
      <m:oMathPara>
        <m:oMath>
          <m:sSubSup>
            <m:sSubSupPr>
              <m:ctrlPr>
                <w:rPr>
                  <w:rFonts w:hint="default" w:ascii="Cambria Math" w:hAnsi="Cambria Math"/>
                  <w:sz w:val="22"/>
                </w:rPr>
              </m:ctrlPr>
            </m:sSubSupPr>
            <m:e>
              <m:r>
                <m:rPr/>
                <w:rPr>
                  <w:rFonts w:hint="default" w:ascii="Cambria Math" w:hAnsi="Cambria Math"/>
                  <w:sz w:val="22"/>
                </w:rPr>
                <m:t>θ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2"/>
                </w:rPr>
                <m:t>v</m:t>
              </m:r>
              <m:ctrlPr>
                <w:rPr>
                  <w:rFonts w:ascii="Cambria Math" w:hAnsi="Cambria Math"/>
                  <w:sz w:val="22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2"/>
                </w:rPr>
                <m:t>∗</m:t>
              </m:r>
              <m:ctrlPr>
                <w:rPr>
                  <w:rFonts w:ascii="Cambria Math" w:hAnsi="Cambria Math"/>
                  <w:sz w:val="22"/>
                </w:rPr>
              </m:ctrlPr>
            </m:sup>
          </m:sSubSup>
          <m:r>
            <m:rPr/>
            <w:rPr>
              <w:rFonts w:hint="default" w:ascii="Cambria Math" w:hAnsi="Cambria Math"/>
              <w:sz w:val="22"/>
            </w:rPr>
            <m:t>=</m:t>
          </m:r>
          <m:func>
            <m:funcPr>
              <m:ctrlPr>
                <w:rPr>
                  <w:rFonts w:hint="default" w:ascii="Cambria Math" w:hAnsi="Cambria Math"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arg</m:t>
              </m:r>
              <m:ctrlPr>
                <w:rPr>
                  <w:rFonts w:ascii="Cambria Math" w:hAnsi="Cambria Math"/>
                  <w:sz w:val="22"/>
                </w:rPr>
              </m:ctrlPr>
            </m:fName>
            <m:e>
              <m:func>
                <m:funcPr>
                  <m:ctrlPr>
                    <w:rPr>
                      <w:rFonts w:hint="default" w:ascii="Cambria Math" w:hAnsi="Cambria Math"/>
                      <w:sz w:val="2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2"/>
                        </w:rPr>
                        <m:t>min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lim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lim>
                  </m:limLow>
                  <m:ctrlPr>
                    <w:rPr>
                      <w:rFonts w:hint="default" w:ascii="Cambria Math" w:hAnsi="Cambria Math"/>
                      <w:sz w:val="22"/>
                    </w:rPr>
                  </m:ctrlPr>
                </m:fName>
                <m:e>
                  <m:ctrlPr>
                    <w:rPr>
                      <w:rFonts w:hint="default" w:ascii="Cambria Math" w:hAnsi="Cambria Math"/>
                      <w:sz w:val="22"/>
                    </w:rPr>
                  </m:ctrlPr>
                </m:e>
              </m:func>
              <m:ctrlPr>
                <w:rPr>
                  <w:rFonts w:hint="default" w:ascii="Cambria Math" w:hAnsi="Cambria Math"/>
                  <w:sz w:val="22"/>
                </w:rPr>
              </m:ctrlPr>
            </m:e>
          </m:func>
          <m:f>
            <m:fPr>
              <m:ctrlPr>
                <w:rPr>
                  <w:rFonts w:hint="default" w:ascii="Cambria Math" w:hAnsi="Cambria Math"/>
                  <w:sz w:val="22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2"/>
                </w:rPr>
                <m:t>1</m:t>
              </m:r>
              <m:ctrlPr>
                <w:rPr>
                  <w:rFonts w:hint="default" w:ascii="Cambria Math" w:hAnsi="Cambria Math"/>
                  <w:sz w:val="22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2"/>
                </w:rPr>
                <m:t>N</m:t>
              </m:r>
              <m:ctrlPr>
                <w:rPr>
                  <w:rFonts w:hint="default" w:ascii="Cambria Math" w:hAnsi="Cambria Math"/>
                  <w:sz w:val="22"/>
                </w:rPr>
              </m:ctrlPr>
            </m:den>
          </m:f>
          <m:nary>
            <m:naryPr>
              <m:chr m:val="∑"/>
              <m:limLoc m:val="subSup"/>
              <m:ctrlPr>
                <w:rPr>
                  <w:rFonts w:hint="default" w:ascii="Cambria Math" w:hAnsi="Cambria Math"/>
                  <w:sz w:val="22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2"/>
                </w:rPr>
                <m:t>n=1</m:t>
              </m:r>
              <m:ctrlPr>
                <w:rPr>
                  <w:rFonts w:hint="default" w:ascii="Cambria Math" w:hAnsi="Cambria Math"/>
                  <w:sz w:val="22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2"/>
                </w:rPr>
                <m:t>N</m:t>
              </m:r>
              <m:ctrlPr>
                <w:rPr>
                  <w:rFonts w:hint="default" w:ascii="Cambria Math" w:hAnsi="Cambria Math"/>
                  <w:sz w:val="22"/>
                </w:rPr>
              </m:ctrlPr>
            </m:sup>
            <m:e>
              <m:sSubSup>
                <m:sSubSupPr>
                  <m:ctrlPr>
                    <w:rPr>
                      <w:rFonts w:hint="default" w:ascii="Cambria Math" w:hAnsi="Cambria Math"/>
                      <w:sz w:val="22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hint="default" w:ascii="Cambria Math" w:hAnsi="Cambria Math"/>
                              <w:sz w:val="22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2"/>
                            </w:rPr>
                            <m:t>f</m:t>
                          </m:r>
                          <m:ctrlPr>
                            <w:rPr>
                              <w:rFonts w:ascii="Cambria Math" w:hAnsi="Cambria Math"/>
                              <w:sz w:val="22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2"/>
                            </w:rPr>
                            <m:t>θ</m:t>
                          </m:r>
                          <m:ctrlPr>
                            <w:rPr>
                              <w:rFonts w:ascii="Cambria Math" w:hAnsi="Cambria Math"/>
                              <w:sz w:val="22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22"/>
                            </w:rPr>
                            <m:t>(v)</m:t>
                          </m:r>
                          <m:ctrlPr>
                            <w:rPr>
                              <w:rFonts w:ascii="Cambria Math" w:hAnsi="Cambria Math"/>
                              <w:sz w:val="22"/>
                            </w:rPr>
                          </m:ctrlPr>
                        </m:sup>
                      </m:sSubSup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2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hint="default" w:ascii="Cambria Math" w:hAnsi="Cambria Math" w:eastAsia="MS Mincho"/>
                              <w:sz w:val="22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sz w:val="22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2"/>
                            </w:rPr>
                            <m:t>n</m:t>
                          </m:r>
                          <m:ctrlPr>
                            <w:rPr>
                              <w:rFonts w:ascii="Cambria Math" w:hAnsi="Cambria Math"/>
                              <w:sz w:val="22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)−</m:t>
                      </m:r>
                      <m:sSubSup>
                        <m:sSubSupPr>
                          <m:ctrlPr>
                            <w:rPr>
                              <w:rFonts w:hint="default" w:ascii="Cambria Math" w:hAnsi="Cambria Math"/>
                              <w:sz w:val="22"/>
                            </w:rPr>
                          </m:ctrlPr>
                        </m:sSubSupPr>
                        <m:e>
                          <m:r>
                            <m:rPr>
                              <m:sty m:val="b"/>
                            </m:rPr>
                            <w:rPr>
                              <w:rFonts w:hint="default" w:ascii="Cambria Math" w:hAnsi="Cambria Math"/>
                              <w:sz w:val="22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sz w:val="22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2"/>
                            </w:rPr>
                            <m:t>n</m:t>
                          </m:r>
                          <m:ctrlPr>
                            <w:rPr>
                              <w:rFonts w:ascii="Cambria Math" w:hAnsi="Cambria Math"/>
                              <w:sz w:val="22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22"/>
                            </w:rPr>
                            <m:t>(v)</m:t>
                          </m:r>
                          <m:ctrlPr>
                            <w:rPr>
                              <w:rFonts w:ascii="Cambria Math" w:hAnsi="Cambria Math"/>
                              <w:sz w:val="22"/>
                            </w:rPr>
                          </m:ctrlPr>
                        </m:sup>
                      </m:sSubSup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e>
                  </m:d>
                  <m:ctrlPr>
                    <w:rPr>
                      <w:rFonts w:hint="default" w:ascii="Cambria Math" w:hAnsi="Cambria Math"/>
                      <w:sz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2"/>
                    </w:rPr>
                    <m:t>2</m:t>
                  </m:r>
                  <m:ctrlPr>
                    <w:rPr>
                      <w:rFonts w:hint="default" w:ascii="Cambria Math" w:hAnsi="Cambria Math"/>
                      <w:sz w:val="22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/>
                      <w:sz w:val="22"/>
                    </w:rPr>
                    <m:t>2</m:t>
                  </m:r>
                  <m:ctrlPr>
                    <w:rPr>
                      <w:rFonts w:hint="default" w:ascii="Cambria Math" w:hAnsi="Cambria Math"/>
                      <w:sz w:val="22"/>
                    </w:rPr>
                  </m:ctrlPr>
                </m:sup>
              </m:sSubSup>
              <m:ctrlPr>
                <w:rPr>
                  <w:rFonts w:hint="default" w:ascii="Cambria Math" w:hAnsi="Cambria Math"/>
                  <w:sz w:val="22"/>
                </w:rPr>
              </m:ctrlPr>
            </m:e>
          </m:nary>
          <m:r>
            <m:rPr/>
            <w:rPr>
              <w:rFonts w:hint="default" w:ascii="Cambria Math" w:hAnsi="Cambria Math"/>
              <w:sz w:val="22"/>
            </w:rPr>
            <m:t>.</m:t>
          </m:r>
        </m:oMath>
      </m:oMathPara>
    </w:p>
    <w:p w14:paraId="27CA0E35">
      <w:pPr>
        <w:pStyle w:val="40"/>
      </w:pPr>
      <w:r>
        <w:rPr>
          <w:rFonts w:cs="Times New Roman"/>
        </w:rPr>
        <w:t xml:space="preserve">训练数据由 historical、SSP126、SSP370、SSP585、hist-GHG 和 hist-aer 组成，SSP245 完全留作测试，从而检验模型对未见排放路径的插值能力。评价时需同时考察区域形态和全球趋势。对格点场 </w:t>
      </w:r>
      <w:r>
        <w:rPr>
          <w:rFonts w:ascii="Cambria Math" w:hAnsi="Cambria Math" w:eastAsia="Cambria Math" w:cs="Cambria Math"/>
        </w:rPr>
        <w:t>Z</w:t>
      </w:r>
      <w:r>
        <w:rPr>
          <w:rFonts w:cs="Times New Roman"/>
        </w:rPr>
        <w:t>，考虑纬度方向网格面积缩小，定义面积加权全球均值</w:t>
      </w:r>
    </w:p>
    <w:p w14:paraId="0D8FC406">
      <w:pPr>
        <w:pStyle w:val="43"/>
      </w:pPr>
      <m:oMathPara>
        <m:oMath>
          <m:r>
            <m:rPr/>
            <w:rPr>
              <w:rFonts w:hint="eastAsia" w:ascii="宋体" w:hAnsi="宋体" w:eastAsia="宋体" w:cs="宋体"/>
            </w:rPr>
            <m:t>〈</m:t>
          </m:r>
          <m:r>
            <m:rPr/>
            <w:rPr>
              <w:rFonts w:cs="Cambria Math"/>
            </w:rPr>
            <m:t>Z</m:t>
          </m:r>
          <m:sSub>
            <m:sSubPr>
              <m:ctrlPr>
                <w:rPr>
                  <w:rFonts w:cs="Cambria Math"/>
                  <w:i/>
                </w:rPr>
              </m:ctrlPr>
            </m:sSubPr>
            <m:e>
              <m:r>
                <m:rPr/>
                <w:rPr>
                  <w:rFonts w:hint="eastAsia" w:ascii="宋体" w:hAnsi="宋体" w:eastAsia="宋体" w:cs="宋体"/>
                </w:rPr>
                <m:t>〉</m:t>
              </m:r>
              <m:ctrlPr>
                <w:rPr>
                  <w:rFonts w:hint="eastAsia" w:eastAsia="宋体" w:cs="宋体"/>
                  <w:i/>
                </w:rPr>
              </m:ctrlPr>
            </m:e>
            <m:sub>
              <m:r>
                <m:rPr/>
                <w:rPr>
                  <w:rFonts w:cs="Cambria Math"/>
                </w:rPr>
                <m:t>w</m:t>
              </m:r>
              <m:ctrlPr>
                <w:rPr>
                  <w:rFonts w:cs="Cambria Math"/>
                  <w:i/>
                </w:rPr>
              </m:ctrlPr>
            </m:sub>
          </m:sSub>
          <m:r>
            <m:rPr/>
            <w:rPr>
              <w:rFonts w:cs="Cambria Math"/>
            </w:rPr>
            <m:t>=</m:t>
          </m:r>
          <m:f>
            <m:fPr>
              <m:ctrlPr>
                <w:rPr>
                  <w:rFonts w:cs="Cambria Math"/>
                  <w:i/>
                </w:rPr>
              </m:ctrlPr>
            </m:fPr>
            <m:num>
              <m:nary>
                <m:naryPr>
                  <m:chr m:val="∑"/>
                  <m:ctrlPr>
                    <w:rPr>
                      <w:rFonts w:cs="Cambria Math"/>
                      <w:i/>
                    </w:rPr>
                  </m:ctrlPr>
                </m:naryPr>
                <m:sub>
                  <m:r>
                    <m:rPr/>
                    <w:rPr>
                      <w:rFonts w:cs="Cambria Math"/>
                    </w:rPr>
                    <m:t>i=1</m:t>
                  </m:r>
                  <m:ctrlPr>
                    <w:rPr>
                      <w:rFonts w:cs="Cambria Math"/>
                      <w:i/>
                    </w:rPr>
                  </m:ctrlPr>
                </m:sub>
                <m:sup>
                  <m:r>
                    <m:rPr/>
                    <w:rPr>
                      <w:rFonts w:cs="Cambria Math"/>
                    </w:rPr>
                    <m:t>H</m:t>
                  </m:r>
                  <m:ctrlPr>
                    <w:rPr>
                      <w:rFonts w:cs="Cambria Math"/>
                      <w:i/>
                    </w:rPr>
                  </m:ctrlPr>
                </m:sup>
                <m:e>
                  <m:nary>
                    <m:naryPr>
                      <m:chr m:val="∑"/>
                      <m:ctrlPr>
                        <w:rPr>
                          <w:rFonts w:cs="Cambria Math"/>
                          <w:i/>
                        </w:rPr>
                      </m:ctrlPr>
                    </m:naryPr>
                    <m:sub>
                      <m:r>
                        <m:rPr/>
                        <w:rPr>
                          <w:rFonts w:cs="Cambria Math"/>
                        </w:rPr>
                        <m:t>j=1</m:t>
                      </m:r>
                      <m:ctrlPr>
                        <w:rPr>
                          <w:rFonts w:cs="Cambria Math"/>
                          <w:i/>
                        </w:rPr>
                      </m:ctrlPr>
                    </m:sub>
                    <m:sup>
                      <m:r>
                        <m:rPr/>
                        <w:rPr>
                          <w:rFonts w:cs="Cambria Math"/>
                        </w:rPr>
                        <m:t>W</m:t>
                      </m:r>
                      <m:ctrlPr>
                        <w:rPr>
                          <w:rFonts w:cs="Cambria Math"/>
                          <w:i/>
                        </w:rPr>
                      </m:ctrlPr>
                    </m:sup>
                    <m:e>
                      <m:func>
                        <m:funcPr>
                          <m:ctrlPr>
                            <w:rPr>
                              <w:rFonts w:cs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cs="Cambria Math"/>
                            </w:rPr>
                            <m:t>cos</m:t>
                          </m:r>
                          <m:ctrlPr>
                            <w:rPr>
                              <w:rFonts w:cs="Cambria Math"/>
                              <w:i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cs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cs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cs="Cambria Math"/>
                                    </w:rPr>
                                    <m:t>φ</m:t>
                                  </m:r>
                                  <m:ctrlPr>
                                    <w:rPr>
                                      <w:rFonts w:cs="Cambria Math"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cs="Cambria Math"/>
                                    </w:rPr>
                                    <m:t>i</m:t>
                                  </m:r>
                                  <m:ctrlPr>
                                    <w:rPr>
                                      <w:rFonts w:cs="Cambria Math"/>
                                      <w:i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cs="Cambria Math"/>
                                  <w:i/>
                                </w:rPr>
                              </m:ctrlPr>
                            </m:e>
                          </m:d>
                          <m:ctrlPr>
                            <w:rPr>
                              <w:rFonts w:cs="Cambria Math"/>
                            </w:rPr>
                          </m:ctrlPr>
                        </m:e>
                      </m:func>
                      <m:sSub>
                        <m:sSubPr>
                          <m:ctrlPr>
                            <w:rPr>
                              <w:rFonts w:cs="Cambria Math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cs="Cambria Math"/>
                            </w:rPr>
                            <m:t>Z</m:t>
                          </m:r>
                          <m:ctrlPr>
                            <w:rPr>
                              <w:rFonts w:cs="Cambria Math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cs="Cambria Math"/>
                            </w:rPr>
                            <m:t>ij</m:t>
                          </m:r>
                          <m:ctrlPr>
                            <w:rPr>
                              <w:rFonts w:cs="Cambria Math"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cs="Cambria Math"/>
                          <w:i/>
                        </w:rPr>
                      </m:ctrlPr>
                    </m:e>
                  </m:nary>
                  <m:ctrlPr>
                    <w:rPr>
                      <w:rFonts w:cs="Cambria Math"/>
                      <w:i/>
                    </w:rPr>
                  </m:ctrlPr>
                </m:e>
              </m:nary>
              <m:ctrlPr>
                <w:rPr>
                  <w:rFonts w:cs="Cambria Math"/>
                  <w:i/>
                </w:rPr>
              </m:ctrlPr>
            </m:num>
            <m:den>
              <m:nary>
                <m:naryPr>
                  <m:chr m:val="∑"/>
                  <m:ctrlPr>
                    <w:rPr>
                      <w:rFonts w:cs="Cambria Math"/>
                      <w:i/>
                    </w:rPr>
                  </m:ctrlPr>
                </m:naryPr>
                <m:sub>
                  <m:r>
                    <m:rPr/>
                    <w:rPr>
                      <w:rFonts w:cs="Cambria Math"/>
                    </w:rPr>
                    <m:t>i=1</m:t>
                  </m:r>
                  <m:ctrlPr>
                    <w:rPr>
                      <w:rFonts w:cs="Cambria Math"/>
                      <w:i/>
                    </w:rPr>
                  </m:ctrlPr>
                </m:sub>
                <m:sup>
                  <m:r>
                    <m:rPr/>
                    <w:rPr>
                      <w:rFonts w:cs="Cambria Math"/>
                    </w:rPr>
                    <m:t>H</m:t>
                  </m:r>
                  <m:ctrlPr>
                    <w:rPr>
                      <w:rFonts w:cs="Cambria Math"/>
                      <w:i/>
                    </w:rPr>
                  </m:ctrlPr>
                </m:sup>
                <m:e>
                  <m:nary>
                    <m:naryPr>
                      <m:chr m:val="∑"/>
                      <m:ctrlPr>
                        <w:rPr>
                          <w:rFonts w:cs="Cambria Math"/>
                          <w:i/>
                        </w:rPr>
                      </m:ctrlPr>
                    </m:naryPr>
                    <m:sub>
                      <m:r>
                        <m:rPr/>
                        <w:rPr>
                          <w:rFonts w:cs="Cambria Math"/>
                        </w:rPr>
                        <m:t>j=1</m:t>
                      </m:r>
                      <m:ctrlPr>
                        <w:rPr>
                          <w:rFonts w:cs="Cambria Math"/>
                          <w:i/>
                        </w:rPr>
                      </m:ctrlPr>
                    </m:sub>
                    <m:sup>
                      <m:r>
                        <m:rPr/>
                        <w:rPr>
                          <w:rFonts w:cs="Cambria Math"/>
                        </w:rPr>
                        <m:t>W</m:t>
                      </m:r>
                      <m:ctrlPr>
                        <w:rPr>
                          <w:rFonts w:cs="Cambria Math"/>
                          <w:i/>
                        </w:rPr>
                      </m:ctrlPr>
                    </m:sup>
                    <m:e>
                      <m:func>
                        <m:funcPr>
                          <m:ctrlPr>
                            <w:rPr>
                              <w:rFonts w:cs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cs="Cambria Math"/>
                            </w:rPr>
                            <m:t>cos</m:t>
                          </m:r>
                          <m:ctrlPr>
                            <w:rPr>
                              <w:rFonts w:cs="Cambria Math"/>
                              <w:i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cs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cs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cs="Cambria Math"/>
                                    </w:rPr>
                                    <m:t>φ</m:t>
                                  </m:r>
                                  <m:ctrlPr>
                                    <w:rPr>
                                      <w:rFonts w:cs="Cambria Math"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cs="Cambria Math"/>
                                    </w:rPr>
                                    <m:t>i</m:t>
                                  </m:r>
                                  <m:ctrlPr>
                                    <w:rPr>
                                      <w:rFonts w:cs="Cambria Math"/>
                                      <w:i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cs="Cambria Math"/>
                                  <w:i/>
                                </w:rPr>
                              </m:ctrlPr>
                            </m:e>
                          </m:d>
                          <m:ctrlPr>
                            <w:rPr>
                              <w:rFonts w:cs="Cambria Math"/>
                            </w:rPr>
                          </m:ctrlPr>
                        </m:e>
                      </m:func>
                      <m:ctrlPr>
                        <w:rPr>
                          <w:rFonts w:cs="Cambria Math"/>
                          <w:i/>
                        </w:rPr>
                      </m:ctrlPr>
                    </m:e>
                  </m:nary>
                  <m:ctrlPr>
                    <w:rPr>
                      <w:rFonts w:cs="Cambria Math"/>
                      <w:i/>
                    </w:rPr>
                  </m:ctrlPr>
                </m:e>
              </m:nary>
              <m:ctrlPr>
                <w:rPr>
                  <w:rFonts w:cs="Cambria Math"/>
                  <w:i/>
                </w:rPr>
              </m:ctrlPr>
            </m:den>
          </m:f>
        </m:oMath>
      </m:oMathPara>
    </w:p>
    <w:p w14:paraId="5F5FD991">
      <w:pPr>
        <w:pStyle w:val="40"/>
      </w:pPr>
      <w:r>
        <w:rPr>
          <w:rFonts w:cs="Times New Roman"/>
        </w:rPr>
        <w:t xml:space="preserve">其中 </w:t>
      </w:r>
      <w:r>
        <w:rPr>
          <w:rFonts w:ascii="Cambria Math" w:hAnsi="Cambria Math" w:eastAsia="Cambria Math" w:cs="Cambria Math"/>
        </w:rPr>
        <w:t>φ_i</w:t>
      </w:r>
      <w:r>
        <w:rPr>
          <w:rFonts w:cs="Times New Roman"/>
        </w:rPr>
        <w:t xml:space="preserve"> 为第 </w:t>
      </w:r>
      <w:r>
        <w:rPr>
          <w:rFonts w:ascii="Cambria Math" w:hAnsi="Cambria Math" w:eastAsia="Cambria Math" w:cs="Cambria Math"/>
        </w:rPr>
        <w:t>i</w:t>
      </w:r>
      <w:r>
        <w:rPr>
          <w:rFonts w:cs="Times New Roman"/>
        </w:rPr>
        <w:t xml:space="preserve"> 个纬度。记 2080-2100 年测试期长度为 </w:t>
      </w:r>
      <w:r>
        <w:rPr>
          <w:rFonts w:ascii="Cambria Math" w:hAnsi="Cambria Math" w:eastAsia="Cambria Math" w:cs="Cambria Math"/>
        </w:rPr>
        <w:t>T</w:t>
      </w:r>
      <w:r>
        <w:rPr>
          <w:rFonts w:cs="Times New Roman"/>
        </w:rPr>
        <w:t xml:space="preserve">，预测场和真实场的时间平均分别为 </w:t>
      </w:r>
      <w:r>
        <w:rPr>
          <w:rFonts w:ascii="Cambria Math" w:hAnsi="Cambria Math" w:eastAsia="Cambria Math" w:cs="Cambria Math"/>
        </w:rPr>
        <w:t>Ȳ^(pred)</w:t>
      </w:r>
      <w:r>
        <w:rPr>
          <w:rFonts w:cs="Times New Roman"/>
        </w:rPr>
        <w:t xml:space="preserve"> 和 </w:t>
      </w:r>
      <w:r>
        <w:rPr>
          <w:rFonts w:ascii="Cambria Math" w:hAnsi="Cambria Math" w:eastAsia="Cambria Math" w:cs="Cambria Math"/>
        </w:rPr>
        <w:t>Ȳ^(true)</w:t>
      </w:r>
      <w:r>
        <w:rPr>
          <w:rFonts w:cs="Times New Roman"/>
        </w:rPr>
        <w:t>，归一化尺度为真实场在该时期的全球平均变化幅度</w:t>
      </w:r>
    </w:p>
    <w:p w14:paraId="7B2A8323">
      <w:pPr>
        <w:pStyle w:val="43"/>
      </w:pPr>
      <m:oMathPara>
        <m:oMath>
          <m:r>
            <m:rPr/>
            <w:rPr>
              <w:rFonts w:hint="default" w:ascii="Cambria Math" w:hAnsi="Cambria Math" w:eastAsia="Cambria Math"/>
              <w:sz w:val="22"/>
            </w:rPr>
            <m:t>D=</m:t>
          </m:r>
          <m:d>
            <m:dPr>
              <m:begChr m:val="|"/>
              <m:endChr m:val="|"/>
              <m:ctrlPr>
                <w:rPr>
                  <w:rFonts w:hint="default" w:ascii="Cambria Math" w:hAnsi="Cambria Math" w:eastAsia="Cambria Math"/>
                  <w:sz w:val="22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eastAsia="Cambria Math"/>
                      <w:sz w:val="22"/>
                    </w:rPr>
                  </m:ctrlPr>
                </m:sSubPr>
                <m:e>
                  <m:d>
                    <m:dPr>
                      <m:begChr m:val="⟨"/>
                      <m:endChr m:val="⟩"/>
                      <m:ctrlPr>
                        <w:rPr>
                          <w:rFonts w:hint="default" w:ascii="Cambria Math" w:hAnsi="Cambria Math" w:eastAsia="Cambria Math"/>
                          <w:sz w:val="2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hint="default" w:ascii="Cambria Math" w:hAnsi="Cambria Math" w:eastAsia="Cambria Math"/>
                              <w:sz w:val="22"/>
                            </w:rPr>
                          </m:ctrlPr>
                        </m:sSup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</m:ctrlPr>
                            </m:bar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hint="default" w:ascii="Cambria Math" w:hAnsi="Cambria Math" w:eastAsia="Cambria Math"/>
                                  <w:sz w:val="22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</m:ctrlPr>
                            </m:e>
                          </m:bar>
                          <m:ctrlPr>
                            <w:rPr>
                              <w:rFonts w:ascii="Cambria Math" w:hAnsi="Cambria Math" w:eastAsia="Cambria Math"/>
                              <w:sz w:val="22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Cambria Math"/>
                              <w:sz w:val="22"/>
                            </w:rPr>
                            <m:t>true</m:t>
                          </m:r>
                          <m:ctrlPr>
                            <w:rPr>
                              <w:rFonts w:ascii="Cambria Math" w:hAnsi="Cambria Math" w:eastAsia="Cambria Math"/>
                              <w:sz w:val="22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 w:eastAsia="Cambria Math"/>
                          <w:sz w:val="22"/>
                        </w:rPr>
                      </m:ctrlPr>
                    </m:e>
                  </m:d>
                  <m:ctrlPr>
                    <w:rPr>
                      <w:rFonts w:hint="default" w:ascii="Cambria Math" w:hAnsi="Cambria Math" w:eastAsia="Cambria Math"/>
                      <w:sz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Cambria Math"/>
                      <w:sz w:val="22"/>
                    </w:rPr>
                    <m:t>w</m:t>
                  </m:r>
                  <m:ctrlPr>
                    <w:rPr>
                      <w:rFonts w:hint="default" w:ascii="Cambria Math" w:hAnsi="Cambria Math" w:eastAsia="Cambria Math"/>
                      <w:sz w:val="22"/>
                    </w:rPr>
                  </m:ctrlPr>
                </m:sub>
              </m:sSub>
              <m:ctrlPr>
                <w:rPr>
                  <w:rFonts w:hint="default" w:ascii="Cambria Math" w:hAnsi="Cambria Math" w:eastAsia="Cambria Math"/>
                  <w:sz w:val="22"/>
                </w:rPr>
              </m:ctrlPr>
            </m:e>
          </m:d>
        </m:oMath>
      </m:oMathPara>
    </w:p>
    <w:p w14:paraId="28F5D266">
      <w:pPr>
        <w:pStyle w:val="40"/>
      </w:pPr>
      <w:r>
        <w:rPr>
          <w:rFonts w:cs="Times New Roman"/>
        </w:rPr>
        <w:t>空间指标比较多年平均气候变化图，衡量区域格局是否准确：</w:t>
      </w:r>
    </w:p>
    <w:p w14:paraId="7995501E">
      <w:pPr>
        <w:pStyle w:val="43"/>
      </w:pPr>
      <m:oMathPara>
        <m:oMath>
          <m:r>
            <m:rPr/>
            <w:rPr>
              <w:rFonts w:cs="Cambria Math"/>
            </w:rPr>
            <m:t>NRMS</m:t>
          </m:r>
          <m:sSub>
            <m:sSubPr>
              <m:ctrlPr>
                <w:rPr>
                  <w:rFonts w:cs="Cambria Math"/>
                  <w:i/>
                </w:rPr>
              </m:ctrlPr>
            </m:sSubPr>
            <m:e>
              <m:r>
                <m:rPr/>
                <w:rPr>
                  <w:rFonts w:cs="Cambria Math"/>
                </w:rPr>
                <m:t>E</m:t>
              </m:r>
              <m:ctrlPr>
                <w:rPr>
                  <w:rFonts w:cs="Cambria Math"/>
                  <w:i/>
                </w:rPr>
              </m:ctrlPr>
            </m:e>
            <m:sub>
              <m:r>
                <m:rPr/>
                <w:rPr>
                  <w:rFonts w:cs="Cambria Math"/>
                </w:rPr>
                <m:t>s</m:t>
              </m:r>
              <m:ctrlPr>
                <w:rPr>
                  <w:rFonts w:cs="Cambria Math"/>
                  <w:i/>
                </w:rPr>
              </m:ctrlPr>
            </m:sub>
          </m:sSub>
          <m:r>
            <m:rPr/>
            <w:rPr>
              <w:rFonts w:cs="Cambria Math"/>
            </w:rPr>
            <m:t>=</m:t>
          </m:r>
          <m:f>
            <m:fPr>
              <m:ctrlPr>
                <w:rPr>
                  <w:rFonts w:cs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cs="Cambria Math"/>
                      <w:i/>
                    </w:rPr>
                  </m:ctrlPr>
                </m:radPr>
                <m:deg>
                  <m:ctrlPr>
                    <w:rPr>
                      <w:rFonts w:hint="eastAsia" w:eastAsia="宋体" w:cs="宋体"/>
                      <w:i/>
                    </w:rPr>
                  </m:ctrlPr>
                </m:deg>
                <m:e>
                  <m:r>
                    <m:rPr/>
                    <w:rPr>
                      <w:rFonts w:hint="eastAsia" w:ascii="宋体" w:hAnsi="宋体" w:eastAsia="宋体" w:cs="宋体"/>
                    </w:rPr>
                    <m:t>〈</m:t>
                  </m:r>
                  <m:sSubSup>
                    <m:sSubSupPr>
                      <m:ctrlPr>
                        <w:rPr>
                          <w:rFonts w:cs="Cambria Math"/>
                          <w:i/>
                        </w:rPr>
                      </m:ctrlPr>
                    </m:sSubSupPr>
                    <m:e>
                      <m:d>
                        <m:dPr>
                          <m:ctrlPr>
                            <w:rPr>
                              <w:rFonts w:cs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cs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cs="Cambria Math"/>
                                </w:rPr>
                                <m:t>Ȳ</m:t>
                              </m:r>
                              <m:ctrlPr>
                                <w:rPr>
                                  <w:rFonts w:cs="Cambria Math"/>
                                  <w:i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cs="Cambria Math"/>
                                </w:rPr>
                                <m:t>pred</m:t>
                              </m:r>
                              <m:ctrlPr>
                                <w:rPr>
                                  <w:rFonts w:cs="Cambria Math"/>
                                  <w:i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cs="Cambria Math"/>
                            </w:rPr>
                            <m:t>−</m:t>
                          </m:r>
                          <m:sSup>
                            <m:sSupPr>
                              <m:ctrlPr>
                                <w:rPr>
                                  <w:rFonts w:cs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cs="Cambria Math"/>
                                </w:rPr>
                                <m:t>Ȳ</m:t>
                              </m:r>
                              <m:ctrlPr>
                                <w:rPr>
                                  <w:rFonts w:cs="Cambria Math"/>
                                  <w:i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cs="Cambria Math"/>
                                </w:rPr>
                                <m:t>true</m:t>
                              </m:r>
                              <m:ctrlPr>
                                <w:rPr>
                                  <w:rFonts w:cs="Cambria Math"/>
                                  <w:i/>
                                </w:rPr>
                              </m:ctrlPr>
                            </m:sup>
                          </m:sSup>
                          <m:ctrlPr>
                            <w:rPr>
                              <w:rFonts w:cs="Cambria Math"/>
                              <w:i/>
                            </w:rPr>
                          </m:ctrlPr>
                        </m:e>
                      </m:d>
                      <m:ctrlPr>
                        <w:rPr>
                          <w:rFonts w:cs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cs="Cambria Math"/>
                        </w:rPr>
                        <m:t>w</m:t>
                      </m:r>
                      <m:ctrlPr>
                        <w:rPr>
                          <w:rFonts w:cs="Cambria Math"/>
                          <w:i/>
                        </w:rPr>
                      </m:ctrlPr>
                    </m:sub>
                    <m:sup>
                      <m:r>
                        <m:rPr/>
                        <w:rPr>
                          <w:rFonts w:cs="Cambria Math"/>
                        </w:rPr>
                        <m:t>2</m:t>
                      </m:r>
                      <m:r>
                        <m:rPr/>
                        <w:rPr>
                          <w:rFonts w:hint="eastAsia" w:ascii="宋体" w:hAnsi="宋体" w:eastAsia="宋体" w:cs="宋体"/>
                        </w:rPr>
                        <m:t>〉</m:t>
                      </m:r>
                      <m:ctrlPr>
                        <w:rPr>
                          <w:rFonts w:cs="Cambria Math"/>
                          <w:i/>
                        </w:rPr>
                      </m:ctrlPr>
                    </m:sup>
                  </m:sSubSup>
                  <m:ctrlPr>
                    <w:rPr>
                      <w:rFonts w:cs="Cambria Math"/>
                      <w:i/>
                    </w:rPr>
                  </m:ctrlPr>
                </m:e>
              </m:rad>
              <m:ctrlPr>
                <w:rPr>
                  <w:rFonts w:cs="Cambria Math"/>
                  <w:i/>
                </w:rPr>
              </m:ctrlPr>
            </m:num>
            <m:den>
              <m:r>
                <m:rPr/>
                <w:rPr>
                  <w:rFonts w:cs="Cambria Math"/>
                </w:rPr>
                <m:t>D</m:t>
              </m:r>
              <m:ctrlPr>
                <w:rPr>
                  <w:rFonts w:cs="Cambria Math"/>
                  <w:i/>
                </w:rPr>
              </m:ctrlPr>
            </m:den>
          </m:f>
        </m:oMath>
      </m:oMathPara>
    </w:p>
    <w:p w14:paraId="702F9086">
      <w:pPr>
        <w:pStyle w:val="40"/>
      </w:pPr>
      <w:r>
        <w:rPr>
          <w:rFonts w:cs="Times New Roman"/>
        </w:rPr>
        <w:t>全球指标则逐年计算面积加权全球均值的差异，用于衡量长期变化幅度和时间演化是否正确：</w:t>
      </w:r>
    </w:p>
    <w:p w14:paraId="6BC847CF">
      <w:pPr>
        <w:pStyle w:val="43"/>
      </w:pPr>
      <m:oMathPara>
        <m:oMath>
          <m:r>
            <m:rPr/>
            <w:rPr>
              <w:rFonts w:cs="Cambria Math"/>
            </w:rPr>
            <m:t>NRMS</m:t>
          </m:r>
          <m:sSub>
            <m:sSubPr>
              <m:ctrlPr>
                <w:rPr>
                  <w:rFonts w:cs="Cambria Math"/>
                  <w:i/>
                </w:rPr>
              </m:ctrlPr>
            </m:sSubPr>
            <m:e>
              <m:r>
                <m:rPr/>
                <w:rPr>
                  <w:rFonts w:cs="Cambria Math"/>
                </w:rPr>
                <m:t>E</m:t>
              </m:r>
              <m:ctrlPr>
                <w:rPr>
                  <w:rFonts w:cs="Cambria Math"/>
                  <w:i/>
                </w:rPr>
              </m:ctrlPr>
            </m:e>
            <m:sub>
              <m:r>
                <m:rPr/>
                <w:rPr>
                  <w:rFonts w:cs="Cambria Math"/>
                </w:rPr>
                <m:t>g</m:t>
              </m:r>
              <m:ctrlPr>
                <w:rPr>
                  <w:rFonts w:cs="Cambria Math"/>
                  <w:i/>
                </w:rPr>
              </m:ctrlPr>
            </m:sub>
          </m:sSub>
          <m:r>
            <m:rPr/>
            <w:rPr>
              <w:rFonts w:cs="Cambria Math"/>
            </w:rPr>
            <m:t>=</m:t>
          </m:r>
          <m:f>
            <m:fPr>
              <m:ctrlPr>
                <w:rPr>
                  <w:rFonts w:cs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cs="Cambria Math"/>
                      <w:i/>
                    </w:rPr>
                  </m:ctrlPr>
                </m:radPr>
                <m:deg>
                  <m:ctrlPr>
                    <w:rPr>
                      <w:rFonts w:cs="Cambria Math"/>
                      <w:i/>
                    </w:rPr>
                  </m:ctrlPr>
                </m:deg>
                <m:e>
                  <m:f>
                    <m:fPr>
                      <m:ctrlPr>
                        <w:rPr>
                          <w:rFonts w:cs="Cambria Math"/>
                          <w:i/>
                        </w:rPr>
                      </m:ctrlPr>
                    </m:fPr>
                    <m:num>
                      <m:r>
                        <m:rPr/>
                        <w:rPr>
                          <w:rFonts w:cs="Cambria Math"/>
                        </w:rPr>
                        <m:t>1</m:t>
                      </m:r>
                      <m:ctrlPr>
                        <w:rPr>
                          <w:rFonts w:cs="Cambria Math"/>
                          <w:i/>
                        </w:rPr>
                      </m:ctrlPr>
                    </m:num>
                    <m:den>
                      <m:r>
                        <m:rPr/>
                        <w:rPr>
                          <w:rFonts w:cs="Cambria Math"/>
                        </w:rPr>
                        <m:t>T</m:t>
                      </m:r>
                      <m:ctrlPr>
                        <w:rPr>
                          <w:rFonts w:cs="Cambria Math"/>
                          <w:i/>
                        </w:rPr>
                      </m:ctrlPr>
                    </m:den>
                  </m:f>
                  <m:nary>
                    <m:naryPr>
                      <m:chr m:val="∑"/>
                      <m:ctrlPr>
                        <w:rPr>
                          <w:rFonts w:cs="Cambria Math"/>
                          <w:i/>
                        </w:rPr>
                      </m:ctrlPr>
                    </m:naryPr>
                    <m:sub>
                      <m:r>
                        <m:rPr/>
                        <w:rPr>
                          <w:rFonts w:cs="Cambria Math"/>
                        </w:rPr>
                        <m:t>t=1</m:t>
                      </m:r>
                      <m:ctrlPr>
                        <w:rPr>
                          <w:rFonts w:cs="Cambria Math"/>
                          <w:i/>
                        </w:rPr>
                      </m:ctrlPr>
                    </m:sub>
                    <m:sup>
                      <m:r>
                        <m:rPr/>
                        <w:rPr>
                          <w:rFonts w:cs="Cambria Math"/>
                        </w:rPr>
                        <m:t>T</m:t>
                      </m:r>
                      <m:ctrlPr>
                        <w:rPr>
                          <w:rFonts w:cs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cs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cs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hint="eastAsia" w:ascii="宋体" w:hAnsi="宋体" w:eastAsia="宋体" w:cs="宋体"/>
                                </w:rPr>
                                <m:t>〈</m:t>
                              </m:r>
                              <m:sSub>
                                <m:sSubPr>
                                  <m:ctrlPr>
                                    <w:rPr>
                                      <w:rFonts w:cs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cs="Cambria Math"/>
                                    </w:rPr>
                                    <m:t>Ŷ</m:t>
                                  </m:r>
                                  <m:ctrlPr>
                                    <w:rPr>
                                      <w:rFonts w:cs="Cambria Math"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cs="Cambria Math"/>
                                    </w:rPr>
                                    <m:t>t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cs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hint="eastAsia" w:ascii="宋体" w:hAnsi="宋体" w:eastAsia="宋体" w:cs="宋体"/>
                                        </w:rPr>
                                        <m:t>〉</m:t>
                                      </m:r>
                                      <m:ctrlPr>
                                        <w:rPr>
                                          <w:rFonts w:hint="eastAsia" w:eastAsia="宋体" w:cs="宋体"/>
                                          <w:i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cs="Cambria Math"/>
                                        </w:rPr>
                                        <m:t>w</m:t>
                                      </m:r>
                                      <m:ctrlPr>
                                        <w:rPr>
                                          <w:rFonts w:cs="Cambria Math"/>
                                          <w:i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cs="Cambria Math"/>
                                      <w:i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cs="Cambria Math"/>
                                </w:rPr>
                                <m:t>−</m:t>
                              </m:r>
                              <m:r>
                                <m:rPr/>
                                <w:rPr>
                                  <w:rFonts w:hint="eastAsia" w:ascii="宋体" w:hAnsi="宋体" w:eastAsia="宋体" w:cs="宋体"/>
                                </w:rPr>
                                <m:t>〈</m:t>
                              </m:r>
                              <m:sSub>
                                <m:sSubPr>
                                  <m:ctrlPr>
                                    <w:rPr>
                                      <w:rFonts w:cs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cs="Cambria Math"/>
                                    </w:rPr>
                                    <m:t>Y</m:t>
                                  </m:r>
                                  <m:ctrlPr>
                                    <w:rPr>
                                      <w:rFonts w:cs="Cambria Math"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cs="Cambria Math"/>
                                    </w:rPr>
                                    <m:t>t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cs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hint="eastAsia" w:ascii="宋体" w:hAnsi="宋体" w:eastAsia="宋体" w:cs="宋体"/>
                                        </w:rPr>
                                        <m:t>〉</m:t>
                                      </m:r>
                                      <m:ctrlPr>
                                        <w:rPr>
                                          <w:rFonts w:hint="eastAsia" w:eastAsia="宋体" w:cs="宋体"/>
                                          <w:i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cs="Cambria Math"/>
                                        </w:rPr>
                                        <m:t>w</m:t>
                                      </m:r>
                                      <m:ctrlPr>
                                        <w:rPr>
                                          <w:rFonts w:cs="Cambria Math"/>
                                          <w:i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cs="Cambria Math"/>
                                      <w:i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cs="Cambria Math"/>
                                  <w:i/>
                                </w:rPr>
                              </m:ctrlPr>
                            </m:e>
                          </m:d>
                          <m:ctrlPr>
                            <w:rPr>
                              <w:rFonts w:cs="Cambria Math"/>
                              <w:i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cs="Cambria Math"/>
                            </w:rPr>
                            <m:t>2</m:t>
                          </m:r>
                          <m:ctrlPr>
                            <w:rPr>
                              <w:rFonts w:cs="Cambria Math"/>
                              <w:i/>
                            </w:rPr>
                          </m:ctrlPr>
                        </m:sup>
                      </m:sSup>
                      <m:ctrlPr>
                        <w:rPr>
                          <w:rFonts w:cs="Cambria Math"/>
                          <w:i/>
                        </w:rPr>
                      </m:ctrlPr>
                    </m:e>
                  </m:nary>
                  <m:ctrlPr>
                    <w:rPr>
                      <w:rFonts w:cs="Cambria Math"/>
                      <w:i/>
                    </w:rPr>
                  </m:ctrlPr>
                </m:e>
              </m:rad>
              <m:ctrlPr>
                <w:rPr>
                  <w:rFonts w:cs="Cambria Math"/>
                  <w:i/>
                </w:rPr>
              </m:ctrlPr>
            </m:num>
            <m:den>
              <m:r>
                <m:rPr/>
                <w:rPr>
                  <w:rFonts w:cs="Cambria Math"/>
                </w:rPr>
                <m:t>D</m:t>
              </m:r>
              <m:ctrlPr>
                <w:rPr>
                  <w:rFonts w:cs="Cambria Math"/>
                  <w:i/>
                </w:rPr>
              </m:ctrlPr>
            </m:den>
          </m:f>
        </m:oMath>
      </m:oMathPara>
    </w:p>
    <w:p w14:paraId="7D77B606">
      <w:pPr>
        <w:pStyle w:val="40"/>
      </w:pPr>
      <w:r>
        <w:rPr>
          <w:rFonts w:cs="Times New Roman"/>
        </w:rPr>
        <w:t>ClimateBench 将两个指标组合为</w:t>
      </w:r>
    </w:p>
    <w:p w14:paraId="748EFEAF">
      <w:pPr>
        <w:pStyle w:val="43"/>
      </w:pPr>
      <m:oMathPara>
        <m:oMath>
          <m:r>
            <m:rPr/>
            <w:rPr>
              <w:rFonts w:cs="Cambria Math"/>
            </w:rPr>
            <m:t>NRMS</m:t>
          </m:r>
          <m:sSub>
            <m:sSubPr>
              <m:ctrlPr>
                <w:rPr>
                  <w:rFonts w:cs="Cambria Math"/>
                  <w:i/>
                </w:rPr>
              </m:ctrlPr>
            </m:sSubPr>
            <m:e>
              <m:r>
                <m:rPr/>
                <w:rPr>
                  <w:rFonts w:cs="Cambria Math"/>
                </w:rPr>
                <m:t>E</m:t>
              </m:r>
              <m:ctrlPr>
                <w:rPr>
                  <w:rFonts w:cs="Cambria Math"/>
                  <w:i/>
                </w:rPr>
              </m:ctrlPr>
            </m:e>
            <m:sub>
              <m:r>
                <m:rPr/>
                <w:rPr>
                  <w:rFonts w:cs="Cambria Math"/>
                </w:rPr>
                <m:t>total</m:t>
              </m:r>
              <m:ctrlPr>
                <w:rPr>
                  <w:rFonts w:cs="Cambria Math"/>
                  <w:i/>
                </w:rPr>
              </m:ctrlPr>
            </m:sub>
          </m:sSub>
          <m:r>
            <m:rPr/>
            <w:rPr>
              <w:rFonts w:cs="Cambria Math"/>
            </w:rPr>
            <m:t>=NRMS</m:t>
          </m:r>
          <m:sSub>
            <m:sSubPr>
              <m:ctrlPr>
                <w:rPr>
                  <w:rFonts w:cs="Cambria Math"/>
                  <w:i/>
                </w:rPr>
              </m:ctrlPr>
            </m:sSubPr>
            <m:e>
              <m:r>
                <m:rPr/>
                <w:rPr>
                  <w:rFonts w:cs="Cambria Math"/>
                </w:rPr>
                <m:t>E</m:t>
              </m:r>
              <m:ctrlPr>
                <w:rPr>
                  <w:rFonts w:cs="Cambria Math"/>
                  <w:i/>
                </w:rPr>
              </m:ctrlPr>
            </m:e>
            <m:sub>
              <m:r>
                <m:rPr/>
                <w:rPr>
                  <w:rFonts w:cs="Cambria Math"/>
                </w:rPr>
                <m:t>s</m:t>
              </m:r>
              <m:ctrlPr>
                <w:rPr>
                  <w:rFonts w:cs="Cambria Math"/>
                  <w:i/>
                </w:rPr>
              </m:ctrlPr>
            </m:sub>
          </m:sSub>
          <m:r>
            <m:rPr/>
            <w:rPr>
              <w:rFonts w:cs="Cambria Math"/>
            </w:rPr>
            <m:t>+5 NRMS</m:t>
          </m:r>
          <m:sSub>
            <m:sSubPr>
              <m:ctrlPr>
                <w:rPr>
                  <w:rFonts w:cs="Cambria Math"/>
                  <w:i/>
                </w:rPr>
              </m:ctrlPr>
            </m:sSubPr>
            <m:e>
              <m:r>
                <m:rPr/>
                <w:rPr>
                  <w:rFonts w:cs="Cambria Math"/>
                </w:rPr>
                <m:t>E</m:t>
              </m:r>
              <m:ctrlPr>
                <w:rPr>
                  <w:rFonts w:cs="Cambria Math"/>
                  <w:i/>
                </w:rPr>
              </m:ctrlPr>
            </m:e>
            <m:sub>
              <m:r>
                <m:rPr/>
                <w:rPr>
                  <w:rFonts w:cs="Cambria Math"/>
                </w:rPr>
                <m:t>g</m:t>
              </m:r>
              <m:ctrlPr>
                <w:rPr>
                  <w:rFonts w:cs="Cambria Math"/>
                  <w:i/>
                </w:rPr>
              </m:ctrlPr>
            </m:sub>
          </m:sSub>
        </m:oMath>
      </m:oMathPara>
    </w:p>
    <w:p w14:paraId="2CCD7F2E">
      <w:pPr>
        <w:pStyle w:val="40"/>
      </w:pPr>
      <w:r>
        <w:rPr>
          <w:rFonts w:cs="Times New Roman"/>
        </w:rPr>
        <w:t xml:space="preserve">指标越小，表示模型既能重建空间变化格局，又能准确预测全球平均变化幅度。系数 5 用于平衡两部分对总分的贡献，避免仅凭格点误差较小便掩盖全球趋势偏差；以真实响应幅度 </w:t>
      </w:r>
      <w:r>
        <w:rPr>
          <w:rFonts w:ascii="Cambria Math" w:hAnsi="Cambria Math" w:eastAsia="Cambria Math" w:cs="Cambria Math"/>
        </w:rPr>
        <w:t>D</w:t>
      </w:r>
      <w:r>
        <w:rPr>
          <w:rFonts w:cs="Times New Roman"/>
        </w:rPr>
        <w:t xml:space="preserve"> 归一化后，量纲和数值范围不同的温度、日较差、降水及极端降水任务也可以采用统一形式进行比较。因此，本任务并非普通的单点时间序列预测，而是同时受时间依赖、空间结构和全球物理统计约束的高维回归问题。</w:t>
      </w:r>
    </w:p>
    <w:p w14:paraId="6294C813">
      <w:pPr>
        <w:pStyle w:val="38"/>
      </w:pPr>
      <w:r>
        <w:rPr>
          <w:rFonts w:eastAsia="宋体" w:cs="Times New Roman"/>
        </w:rPr>
        <w:t>3. 研究现状</w:t>
      </w:r>
    </w:p>
    <w:p w14:paraId="00CC5BDF">
      <w:pPr>
        <w:pStyle w:val="40"/>
      </w:pPr>
      <w:r>
        <w:rPr>
          <w:rFonts w:cs="Times New Roman"/>
        </w:rPr>
        <w:t>气候模式仿真研究最初主要依赖低维物理模型和模式缩放方法。以 MAGICC6 为代表的简化气候模型用少量方程描述碳循环、辐射强迫和海洋热响应，可以快速估计不同排放路径下的全球平均温度，具有计算成本低、物理含义清晰的优点[1]。然而，这类模型通常只提供全球均值，无法直接回答区域气候如何变化。模式缩放则假设局地气候变化格局能够随全球平均温升按比例调整，从而以较小代价获得空间投影。研究表明，该假设对近似线性的温度响应较有效，但对降水、极端事件以及具有明显区域效应的气溶胶强迫适用性有限[2]。</w:t>
      </w:r>
    </w:p>
    <w:p w14:paraId="3AED1AC2">
      <w:pPr>
        <w:pStyle w:val="40"/>
      </w:pPr>
      <w:r>
        <w:rPr>
          <w:rFonts w:cs="Times New Roman"/>
        </w:rPr>
        <w:t>随着地球系统模式试验数据不断积累，统计仿真器开始直接学习外部强迫与气候响应之间的映射。Castruccio 等基于预先计算的全球气候模式试验构建统计模型，实现了区域温度场的快速生成[3]；MESMER 将全球平均温度轨迹映射到陆地格点，并显式描述自然内部变率，为区域风险研究提供了概率化结果[4]；Mansfield 等进一步证明，机器学习可以利用较短期模拟预测长期气候变化的空间格局，显示出减少昂贵模式积分的潜力[5]。这些工作推动气候仿真从简单线性缩放发展为能够处理非线性、多尺度和空间相关性的统计学习问题。</w:t>
      </w:r>
    </w:p>
    <w:p w14:paraId="3528466A">
      <w:pPr>
        <w:pStyle w:val="40"/>
      </w:pPr>
      <w:r>
        <w:rPr>
          <w:rFonts w:cs="Times New Roman"/>
        </w:rPr>
        <w:t>现有数据驱动仿真器采用了多种模型。高斯过程能够用核函数描述平滑的非线性响应，并同时给出预测均值和不确定性，但计算复杂度会随样本量增加；随机森林擅长刻画变量间的非线性交互，特征重要性也便于解释，但树模型通常不适合外推到训练范围之外；卷积神经网络可提取气溶胶排放和气候响应的空间结构，循环神经网络则能够表示海洋热惯性等导致的时间滞后。ESEm 等开源地球系统仿真平台为高斯过程、随机森林和神经网络提供了较统一的训练、采样与校准接口，降低了不同方法的比较难度[6]。与此同时，深度学习研究逐渐从单纯追求预测精度转向结合地球系统过程知识、可解释性和物理一致性[7]。将能量守恒等解析约束嵌入网络结构或损失函数，已被证明有助于减少不合理预测并提高模型在未见条件下的可靠性[8]。</w:t>
      </w:r>
    </w:p>
    <w:p w14:paraId="65222FD1">
      <w:pPr>
        <w:pStyle w:val="40"/>
      </w:pPr>
      <w:r>
        <w:rPr>
          <w:rFonts w:cs="Times New Roman"/>
        </w:rPr>
        <w:t>统一数据集和评价协议的出现进一步促进了方法比较。WeatherBench 为数据驱动天气预报建立了标准化数据和指标体系[9]，但天气预报主要关注初值驱动的短期演变，而气候投影关注外部强迫下数十年至百年尺度的统计响应。ClimateBench 因此使用 NorESM2 的 CMIP6、ScenarioMIP、AerChemMIP 和 DAMIP 试验，构建了面向气候投影的统一基准，并比较模式缩放、高斯过程、随机森林和 CNN-LSTM 等方法[10]。结果表明，机器学习能够较好模拟温度、日较差、降水及极端降水的全球与区域响应，其中神经网络在多个任务的全球均值预测上表现突出。不过，有限且高度相关的训练样本、自然内部变率、跨情景外推、极端降水的强非线性以及预测的物理可信性仍是关键难题。当前研究正向概率化、多变量联合建模、跨模式迁移和物理约束学习发展，目标是在计算效率、预测精度、不确定性刻画与物理一致性之间取得平衡，使气候仿真器能够可靠支持情景探索、风险评估和气候归因。</w:t>
      </w:r>
    </w:p>
    <w:p w14:paraId="6B914090">
      <w:pPr>
        <w:pStyle w:val="38"/>
      </w:pPr>
      <w:r>
        <w:rPr>
          <w:rFonts w:eastAsia="宋体" w:cs="Times New Roman"/>
        </w:rPr>
        <w:t>4. 论文方法</w:t>
      </w:r>
    </w:p>
    <w:p w14:paraId="3E66B3C6">
      <w:pPr>
        <w:pStyle w:val="40"/>
      </w:pPr>
      <w:r>
        <w:rPr>
          <w:rFonts w:cs="Times New Roman"/>
        </w:rPr>
        <w:t xml:space="preserve">本作业并非只把原论文的网络层名称替换成 MindSpore API。我们以官方 </w:t>
      </w:r>
      <w:r>
        <w:rPr>
          <w:rFonts w:ascii="Consolas" w:hAnsi="Consolas" w:eastAsia="等线" w:cs="Consolas"/>
          <w:sz w:val="22"/>
        </w:rPr>
        <w:t>CNN-LTSM_model.ipynb</w:t>
      </w:r>
      <w:r>
        <w:rPr>
          <w:rFonts w:cs="Times New Roman"/>
        </w:rPr>
        <w:t xml:space="preserve"> 为参照，将数据准备、时序样本构造、CNN-LSTM 网络、四变量训练、SSP245 推理、官方指标和空间可视化完整重建为可独立执行的工程。实验运行在华为云 ModelArts Notebook，使用 Python 3.7.10、MindSpore 1.7.0 和 NVIDIA Tesla T4 GPU。我们的迁移原则是保持科学任务、数据语义、输入输出形状和网络信息流一致，再针对 MindSpore 的张量布局、网络封装和训练接口完成适配。</w:t>
      </w:r>
    </w:p>
    <w:p w14:paraId="050B764B">
      <w:pPr>
        <w:pStyle w:val="39"/>
      </w:pPr>
      <w:r>
        <w:rPr>
          <w:rFonts w:eastAsia="宋体" w:cs="Times New Roman"/>
        </w:rPr>
        <w:t>4.1 数据协议与样本构造</w:t>
      </w:r>
    </w:p>
    <w:p w14:paraId="23C5DA0A">
      <w:pPr>
        <w:pStyle w:val="40"/>
      </w:pPr>
      <w:r>
        <w:rPr>
          <w:rFonts w:cs="Times New Roman"/>
        </w:rPr>
        <w:t xml:space="preserve">原代码使用 historical、SSP126、SSP370、SSP585、hist-GHG 和 hist-aer 形成训练数据，并将 historical 与每个未来 SSP 场景连接，使预测情景初期时仍能获得前 9 年历史强迫。SSP245 完全留作测试。我们保持了这一划分，并继续使用 xarray 读取 NetCDF：输出变量沿 </w:t>
      </w:r>
      <w:r>
        <w:rPr>
          <w:rFonts w:ascii="Consolas" w:hAnsi="Consolas" w:eastAsia="等线" w:cs="Consolas"/>
          <w:sz w:val="22"/>
        </w:rPr>
        <w:t>member</w:t>
      </w:r>
      <w:r>
        <w:rPr>
          <w:rFonts w:cs="Times New Roman"/>
        </w:rPr>
        <w:t xml:space="preserve"> 维求平均；pr 和 pr90 乘以 86400，由 kg</w:t>
      </w:r>
      <w:r>
        <w:rPr>
          <w:rFonts w:hint="eastAsia" w:cs="Times New Roman"/>
          <w:lang w:val="en-US" w:eastAsia="zh-CN"/>
        </w:rPr>
        <w:t>/</w:t>
      </w:r>
      <w:r>
        <w:rPr>
          <w:rFonts w:cs="Times New Roman"/>
        </w:rPr>
        <w:t>m</w:t>
      </w:r>
      <w:r>
        <w:rPr>
          <w:rFonts w:cs="Times New Roman"/>
          <w:vertAlign w:val="superscript"/>
        </w:rPr>
        <w:t>2</w:t>
      </w:r>
      <w:r>
        <w:rPr>
          <w:rFonts w:hint="eastAsia" w:cs="Times New Roman"/>
          <w:vertAlign w:val="superscript"/>
          <w:lang w:val="en-US" w:eastAsia="zh-CN"/>
        </w:rPr>
        <w:t xml:space="preserve"> </w:t>
      </w:r>
      <w:r>
        <w:rPr>
          <w:rFonts w:cs="Times New Roman"/>
        </w:rPr>
        <w:t xml:space="preserve">s 转为 mm/day；CO2 和 CH4 从时间序列广播到 96×144 网格，SO2 和 BC 保留空间分布，最终堆叠为四通道输入。我们将经纬度名称统一为 </w:t>
      </w:r>
      <w:r>
        <w:rPr>
          <w:rFonts w:ascii="Consolas" w:hAnsi="Consolas" w:eastAsia="等线" w:cs="Consolas"/>
          <w:sz w:val="22"/>
        </w:rPr>
        <w:t>lat</w:t>
      </w:r>
      <w:r>
        <w:rPr>
          <w:rFonts w:cs="Times New Roman"/>
        </w:rPr>
        <w:t xml:space="preserve"> 和 </w:t>
      </w:r>
      <w:r>
        <w:rPr>
          <w:rFonts w:ascii="Consolas" w:hAnsi="Consolas" w:eastAsia="等线" w:cs="Consolas"/>
          <w:sz w:val="22"/>
        </w:rPr>
        <w:t>lon</w:t>
      </w:r>
      <w:r>
        <w:rPr>
          <w:rFonts w:cs="Times New Roman"/>
        </w:rPr>
        <w:t xml:space="preserve">，将所有数组转为 </w:t>
      </w:r>
      <w:r>
        <w:rPr>
          <w:rFonts w:ascii="Consolas" w:hAnsi="Consolas" w:eastAsia="等线" w:cs="Consolas"/>
          <w:sz w:val="22"/>
        </w:rPr>
        <w:t>float32</w:t>
      </w:r>
      <w:r>
        <w:rPr>
          <w:rFonts w:cs="Times New Roman"/>
        </w:rPr>
        <w:t>，并将训练统计量保存为 JSON 供推理阶段复用。</w:t>
      </w:r>
    </w:p>
    <w:p w14:paraId="784A6D59">
      <w:pPr>
        <w:pStyle w:val="40"/>
      </w:pPr>
      <w:r>
        <w:rPr>
          <w:rFonts w:cs="Times New Roman"/>
        </w:rPr>
        <w:t>我们沿用原版长度为 10 年的滑动窗口，并以窗口最后一年的气候场作为标签。我们将 notebook 中两套输入、输出切窗函数合并为一个显式保持时间坐标的函数：</w:t>
      </w:r>
    </w:p>
    <w:p w14:paraId="5A51E69E">
      <w:pPr>
        <w:pStyle w:val="42"/>
        <w:keepLines/>
        <w:shd w:val="clear" w:color="auto" w:fill="F2F2F2"/>
      </w:pPr>
      <w:r>
        <w:rPr>
          <w:rFonts w:eastAsia="等线" w:cs="Consolas"/>
        </w:rPr>
        <w:t>def make_windows(x, y, times, slider=10, start_index=0):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 xml:space="preserve">    xs, ys, out_times = [], [], []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 xml:space="preserve">    for i in range(start_index, x.shape[0] - slider + 1):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 xml:space="preserve">        target_idx = i + slider - 1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 xml:space="preserve">        xs.append(x[i:i + slider])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 xml:space="preserve">        ys.append(y[target_idx][None, :, :])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 xml:space="preserve">        out_times.append(times[target_idx])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 xml:space="preserve">    return np.asarray(xs, np.float32), np.asarray(ys, np.float32), np.asarray(out_times)</w:t>
      </w:r>
    </w:p>
    <w:p w14:paraId="13091BD6">
      <w:pPr>
        <w:pStyle w:val="40"/>
      </w:pPr>
      <w:r>
        <w:rPr>
          <w:rFonts w:cs="Times New Roman"/>
        </w:rPr>
        <w:t xml:space="preserve">这样构造出的输入和标签形状分别为 </w:t>
      </w:r>
      <w:r>
        <w:rPr>
          <w:rFonts w:ascii="Consolas" w:hAnsi="Consolas" w:eastAsia="等线" w:cs="Consolas"/>
          <w:sz w:val="22"/>
        </w:rPr>
        <w:t>[N,10,96,144,4]</w:t>
      </w:r>
      <w:r>
        <w:rPr>
          <w:rFonts w:cs="Times New Roman"/>
        </w:rPr>
        <w:t xml:space="preserve"> 与 </w:t>
      </w:r>
      <w:r>
        <w:rPr>
          <w:rFonts w:ascii="Consolas" w:hAnsi="Consolas" w:eastAsia="等线" w:cs="Consolas"/>
          <w:sz w:val="22"/>
        </w:rPr>
        <w:t>[N,1,96,144]</w:t>
      </w:r>
      <w:r>
        <w:rPr>
          <w:rFonts w:cs="Times New Roman"/>
        </w:rPr>
        <w:t>，共得到 726 个样本。</w:t>
      </w:r>
      <w:r>
        <w:rPr>
          <w:rFonts w:ascii="Consolas" w:hAnsi="Consolas" w:eastAsia="等线" w:cs="Consolas"/>
          <w:sz w:val="22"/>
        </w:rPr>
        <w:t>start_index</w:t>
      </w:r>
      <w:r>
        <w:rPr>
          <w:rFonts w:cs="Times New Roman"/>
        </w:rPr>
        <w:t xml:space="preserve"> 用于控制 historical 与 SSP 接缝处的窗口起点，既保留历史上下文，又避免把同一历史标签重复加入多个场景。tas、pr、DTR 和 pr90 仍按原代码分别训练四个模型，保持不同物理变量的独立输出假设。</w:t>
      </w:r>
    </w:p>
    <w:p w14:paraId="5F7D8B73">
      <w:pPr>
        <w:pStyle w:val="39"/>
      </w:pPr>
      <w:r>
        <w:rPr>
          <w:rFonts w:eastAsia="宋体" w:cs="Times New Roman"/>
        </w:rPr>
        <w:t>4.2 网络结构的逐层迁移</w:t>
      </w:r>
    </w:p>
    <w:p w14:paraId="6E5BA925">
      <w:pPr>
        <w:pStyle w:val="40"/>
      </w:pPr>
      <w:r>
        <w:rPr>
          <w:rFonts w:cs="Times New Roman"/>
        </w:rPr>
        <w:t>官方 Keras baseline 的核心结构如下。它先对 10 个时间步共享同一个二维卷积，再进行空间池化和全局平均，最后由 LSTM 汇总时间信息并输出全球格点场：</w:t>
      </w:r>
    </w:p>
    <w:p w14:paraId="4D74DFA2">
      <w:pPr>
        <w:pStyle w:val="42"/>
        <w:keepLines/>
        <w:shd w:val="clear" w:color="auto" w:fill="F2F2F2"/>
      </w:pPr>
      <w:r>
        <w:rPr>
          <w:rFonts w:eastAsia="等线" w:cs="Consolas"/>
        </w:rPr>
        <w:t>cnn_model = Sequential()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>cnn_model.add(Input(shape=(10, 96, 144, 4)))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>cnn_model.add(TimeDistributed(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 xml:space="preserve">    Conv2D(20, (3, 3), padding="same", activation="relu")))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>cnn_model.add(TimeDistributed(AveragePooling2D(2)))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>cnn_model.add(TimeDistributed(GlobalAveragePooling2D()))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>cnn_model.add(LSTM(25, activation="relu"))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>cnn_model.add(Dense(96 * 144))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>cnn_model.add(Reshape((1, 96, 144)))</w:t>
      </w:r>
    </w:p>
    <w:p w14:paraId="17B438F9">
      <w:pPr>
        <w:pStyle w:val="40"/>
      </w:pPr>
      <w:r>
        <w:rPr>
          <w:rFonts w:cs="Times New Roman"/>
        </w:rPr>
        <w:t xml:space="preserve">MindSpore 1.7.0 没有直接照搬 Keras </w:t>
      </w:r>
      <w:r>
        <w:rPr>
          <w:rFonts w:ascii="Consolas" w:hAnsi="Consolas" w:eastAsia="等线" w:cs="Consolas"/>
          <w:sz w:val="22"/>
        </w:rPr>
        <w:t>TimeDistributed</w:t>
      </w:r>
      <w:r>
        <w:rPr>
          <w:rFonts w:cs="Times New Roman"/>
        </w:rPr>
        <w:t xml:space="preserve"> 的必要。我们在 </w:t>
      </w:r>
      <w:r>
        <w:rPr>
          <w:rFonts w:ascii="Consolas" w:hAnsi="Consolas" w:eastAsia="等线" w:cs="Consolas"/>
          <w:sz w:val="22"/>
        </w:rPr>
        <w:t>ClimateCNNLSTM(nn.Cell)</w:t>
      </w:r>
      <w:r>
        <w:rPr>
          <w:rFonts w:cs="Times New Roman"/>
        </w:rPr>
        <w:t xml:space="preserve"> 中先把输入从 </w:t>
      </w:r>
      <w:r>
        <w:rPr>
          <w:rFonts w:ascii="Consolas" w:hAnsi="Consolas" w:eastAsia="等线" w:cs="Consolas"/>
          <w:sz w:val="22"/>
        </w:rPr>
        <w:t>[B,T,H,W,C]</w:t>
      </w:r>
      <w:r>
        <w:rPr>
          <w:rFonts w:cs="Times New Roman"/>
        </w:rPr>
        <w:t xml:space="preserve"> 转为 </w:t>
      </w:r>
      <w:r>
        <w:rPr>
          <w:rFonts w:ascii="Consolas" w:hAnsi="Consolas" w:eastAsia="等线" w:cs="Consolas"/>
          <w:sz w:val="22"/>
        </w:rPr>
        <w:t>[B,T,C,H,W]</w:t>
      </w:r>
      <w:r>
        <w:rPr>
          <w:rFonts w:cs="Times New Roman"/>
        </w:rPr>
        <w:t xml:space="preserve">，再合并批次和时间维，使同一个 </w:t>
      </w:r>
      <w:r>
        <w:rPr>
          <w:rFonts w:ascii="Consolas" w:hAnsi="Consolas" w:eastAsia="等线" w:cs="Consolas"/>
          <w:sz w:val="22"/>
        </w:rPr>
        <w:t>nn.Conv2d</w:t>
      </w:r>
      <w:r>
        <w:rPr>
          <w:rFonts w:cs="Times New Roman"/>
        </w:rPr>
        <w:t xml:space="preserve"> 一次处理所有年份。这一做法与 </w:t>
      </w:r>
      <w:r>
        <w:rPr>
          <w:rFonts w:ascii="Consolas" w:hAnsi="Consolas" w:eastAsia="等线" w:cs="Consolas"/>
          <w:sz w:val="22"/>
        </w:rPr>
        <w:t>TimeDistributed</w:t>
      </w:r>
      <w:r>
        <w:rPr>
          <w:rFonts w:cs="Times New Roman"/>
        </w:rPr>
        <w:t xml:space="preserve"> 的关键语义一致，即不同时间步共享卷积权重，而不是为每年建立独立卷积层。卷积后的 2×2 平均池化对应 Keras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ascii="Consolas" w:hAnsi="Consolas" w:eastAsia="等线" w:cs="Consolas"/>
          <w:sz w:val="22"/>
        </w:rPr>
        <w:t>AveragePooling2D(2)</w:t>
      </w:r>
      <w:r>
        <w:rPr>
          <w:rFonts w:cs="Times New Roman"/>
        </w:rPr>
        <w:t xml:space="preserve">，对空间维执行 </w:t>
      </w:r>
      <w:r>
        <w:rPr>
          <w:rFonts w:ascii="Consolas" w:hAnsi="Consolas" w:eastAsia="等线" w:cs="Consolas"/>
          <w:sz w:val="22"/>
        </w:rPr>
        <w:t>ReduceMean</w:t>
      </w:r>
      <w:r>
        <w:rPr>
          <w:rFonts w:cs="Times New Roman"/>
        </w:rPr>
        <w:t xml:space="preserve"> 对应 </w:t>
      </w:r>
      <w:r>
        <w:rPr>
          <w:rFonts w:ascii="Consolas" w:hAnsi="Consolas" w:eastAsia="等线" w:cs="Consolas"/>
          <w:sz w:val="22"/>
        </w:rPr>
        <w:t>GlobalAveragePooling2D</w:t>
      </w:r>
      <w:r>
        <w:rPr>
          <w:rFonts w:cs="Times New Roman"/>
        </w:rPr>
        <w:t xml:space="preserve">；恢复为 </w:t>
      </w:r>
      <w:r>
        <w:rPr>
          <w:rFonts w:ascii="Consolas" w:hAnsi="Consolas" w:eastAsia="等线" w:cs="Consolas"/>
          <w:sz w:val="22"/>
        </w:rPr>
        <w:t>[B,T,20]</w:t>
      </w:r>
      <w:r>
        <w:rPr>
          <w:rFonts w:cs="Times New Roman"/>
        </w:rPr>
        <w:t xml:space="preserve"> 后输入隐藏维为 25 的 </w:t>
      </w:r>
      <w:r>
        <w:rPr>
          <w:rFonts w:ascii="Consolas" w:hAnsi="Consolas" w:eastAsia="等线" w:cs="Consolas"/>
          <w:sz w:val="22"/>
        </w:rPr>
        <w:t>nn.LSTM</w:t>
      </w:r>
      <w:r>
        <w:rPr>
          <w:rFonts w:cs="Times New Roman"/>
        </w:rPr>
        <w:t xml:space="preserve">，取最后时间步，经 </w:t>
      </w:r>
      <w:r>
        <w:rPr>
          <w:rFonts w:ascii="Consolas" w:hAnsi="Consolas" w:eastAsia="等线" w:cs="Consolas"/>
          <w:sz w:val="22"/>
        </w:rPr>
        <w:t>nn.Dense(25,13824)</w:t>
      </w:r>
      <w:r>
        <w:rPr>
          <w:rFonts w:cs="Times New Roman"/>
        </w:rPr>
        <w:t xml:space="preserve"> 重塑为 </w:t>
      </w:r>
      <w:r>
        <w:rPr>
          <w:rFonts w:ascii="Consolas" w:hAnsi="Consolas" w:eastAsia="等线" w:cs="Consolas"/>
          <w:sz w:val="22"/>
        </w:rPr>
        <w:t>[B,1,96,144]</w:t>
      </w:r>
      <w:r>
        <w:rPr>
          <w:rFonts w:cs="Times New Roman"/>
        </w:rPr>
        <w:t>：</w:t>
      </w:r>
    </w:p>
    <w:p w14:paraId="77FA6A3E">
      <w:pPr>
        <w:pStyle w:val="42"/>
        <w:keepLines/>
        <w:shd w:val="clear" w:color="auto" w:fill="F2F2F2"/>
      </w:pPr>
      <w:r>
        <w:rPr>
          <w:rFonts w:eastAsia="等线" w:cs="Consolas"/>
        </w:rPr>
        <w:t>class ClimateCNNLSTM(nn.Cell):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 xml:space="preserve">    def construct(self, x):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 xml:space="preserve">        b, t, h, w, c = x.shape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 xml:space="preserve">        x = self.transpose(x, (0, 1, 4, 2, 3))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 xml:space="preserve">        x = self.reshape(x, (b * t, c, h, w))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 xml:space="preserve">        x = self.pool(self.relu(self.conv(x)))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 xml:space="preserve">        x = self.reduce_mean(x, (2, 3))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 xml:space="preserve">        x = self.reshape(x, (b, t, self.cnn_channels))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 xml:space="preserve">        out, _ = self.lstm(x)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 xml:space="preserve">        y = self.dense(out[:, -1, :])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 xml:space="preserve">        return self.reshape(y, (b, 1, self.lat, self.lon))</w:t>
      </w:r>
    </w:p>
    <w:p w14:paraId="5CCAB8CB">
      <w:pPr>
        <w:pStyle w:val="40"/>
      </w:pPr>
      <w:r>
        <w:rPr>
          <w:rFonts w:cs="Times New Roman"/>
        </w:rPr>
        <w:t xml:space="preserve">因此，我们实现的模型与原版模型在“逐年提取空间特征、压缩为空间摘要、汇总十年时间依赖、恢复全球场”的整体信息流上保持一致。我们也保留了卷积通道数 20、卷积核 3×3、same padding、平均池化、LSTM 隐藏维 25、线性输出 13824 个格点等结构参数。框架层面存在两项实现差异：原版使用 RMSProp，并为 Keras LSTM 指定 ReLU；我们采用学习率 0.001 的 Adam 和 MindSpore 标准 </w:t>
      </w:r>
      <w:r>
        <w:rPr>
          <w:rFonts w:ascii="Consolas" w:hAnsi="Consolas" w:eastAsia="等线" w:cs="Consolas"/>
          <w:sz w:val="22"/>
        </w:rPr>
        <w:t>nn.LSTM</w:t>
      </w:r>
      <w:r>
        <w:rPr>
          <w:rFonts w:cs="Times New Roman"/>
        </w:rPr>
        <w:t xml:space="preserve"> 门控激活。因此，本作业追求网络功能和任务协议等价，而不是逐浮点数一致。</w:t>
      </w:r>
    </w:p>
    <w:p w14:paraId="68202FB7">
      <w:pPr>
        <w:pStyle w:val="39"/>
      </w:pPr>
      <w:r>
        <w:rPr>
          <w:rFonts w:eastAsia="宋体" w:cs="Times New Roman"/>
        </w:rPr>
        <w:t>4.3 MindSpore 训练、推理与评价链路</w:t>
      </w:r>
    </w:p>
    <w:p w14:paraId="35D375DE">
      <w:pPr>
        <w:pStyle w:val="40"/>
      </w:pPr>
      <w:r>
        <w:rPr>
          <w:rFonts w:cs="Times New Roman"/>
        </w:rPr>
        <w:t xml:space="preserve">原 notebook 通过 </w:t>
      </w:r>
      <w:r>
        <w:rPr>
          <w:rFonts w:ascii="Consolas" w:hAnsi="Consolas" w:eastAsia="等线" w:cs="Consolas"/>
          <w:sz w:val="22"/>
        </w:rPr>
        <w:t>model.compile(...); model.fit(...)</w:t>
      </w:r>
      <w:r>
        <w:rPr>
          <w:rFonts w:cs="Times New Roman"/>
        </w:rPr>
        <w:t xml:space="preserve"> 隐式完成损失计算、反向传播和参数更新。我们将这些步骤映射为 MindSpore 原生组件：</w:t>
      </w:r>
      <w:r>
        <w:rPr>
          <w:rFonts w:ascii="Consolas" w:hAnsi="Consolas" w:eastAsia="等线" w:cs="Consolas"/>
          <w:sz w:val="22"/>
        </w:rPr>
        <w:t>NumpySlicesDataset</w:t>
      </w:r>
      <w:r>
        <w:rPr>
          <w:rFonts w:cs="Times New Roman"/>
        </w:rPr>
        <w:t xml:space="preserve"> 负责随机打乱和批处理，</w:t>
      </w:r>
      <w:r>
        <w:rPr>
          <w:rFonts w:ascii="Consolas" w:hAnsi="Consolas" w:eastAsia="等线" w:cs="Consolas"/>
          <w:sz w:val="22"/>
        </w:rPr>
        <w:t>nn.MSELoss</w:t>
      </w:r>
      <w:r>
        <w:rPr>
          <w:rFonts w:cs="Times New Roman"/>
        </w:rPr>
        <w:t xml:space="preserve"> 保持原版格点 MSE 目标，</w:t>
      </w:r>
      <w:r>
        <w:rPr>
          <w:rFonts w:ascii="Consolas" w:hAnsi="Consolas" w:eastAsia="等线" w:cs="Consolas"/>
          <w:sz w:val="22"/>
        </w:rPr>
        <w:t>NetWithLoss</w:t>
      </w:r>
      <w:r>
        <w:rPr>
          <w:rFonts w:cs="Times New Roman"/>
        </w:rPr>
        <w:t xml:space="preserve"> 封装模型与损失，</w:t>
      </w:r>
      <w:r>
        <w:rPr>
          <w:rFonts w:ascii="Consolas" w:hAnsi="Consolas" w:eastAsia="等线" w:cs="Consolas"/>
          <w:sz w:val="22"/>
        </w:rPr>
        <w:t>nn.TrainOneStepCell</w:t>
      </w:r>
      <w:r>
        <w:rPr>
          <w:rFonts w:cs="Times New Roman"/>
        </w:rPr>
        <w:t xml:space="preserve"> 完成单步梯度计算和参数更新。batch size 16 与 30 个 epoch 均与官方 baseline 一致：</w:t>
      </w:r>
    </w:p>
    <w:p w14:paraId="0C5D9F31">
      <w:pPr>
        <w:pStyle w:val="42"/>
        <w:keepLines/>
        <w:shd w:val="clear" w:color="auto" w:fill="F2F2F2"/>
      </w:pPr>
      <w:r>
        <w:rPr>
          <w:rFonts w:eastAsia="等线" w:cs="Consolas"/>
        </w:rPr>
        <w:t>train_ds = ds.NumpySlicesDataset(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 xml:space="preserve">    {"x": X, "y": Y}, shuffle=True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>).batch(16)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>loss_fn = nn.MSELoss()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>optimizer = nn.Adam(net.trainable_params(), learning_rate=1e-3)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>train_net = nn.TrainOneStepCell(NetWithLoss(net, loss_fn), optimizer)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>for batch in train_ds.create_dict_iterator():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 xml:space="preserve">    loss = train_net(batch["x"], batch["y"])</w:t>
      </w:r>
    </w:p>
    <w:p w14:paraId="7EB0D099">
      <w:pPr>
        <w:pStyle w:val="40"/>
      </w:pPr>
      <w:r>
        <w:rPr>
          <w:rFonts w:cs="Times New Roman"/>
        </w:rPr>
        <w:t xml:space="preserve">工程化复现还覆盖了 notebook 之外的完整产物管理。每轮训练记录 CSV 日志并保存 checkpoint，最终标准化参数单独保存；推理时重新加载 checkpoint 和训练统计量，将 historical 与 SSP245 拼接后按同一规则切窗，批量生成 2015-2100 年预测，并连同时间、纬度和经度坐标写回 NetCDF。评价阶段在 2080-2100 年计算纬度余弦面积加权的 Spatial NRMSE、Global NRMSE 和 </w:t>
      </w:r>
      <w:r>
        <w:rPr>
          <w:rFonts w:ascii="Consolas" w:hAnsi="Consolas" w:eastAsia="等线" w:cs="Consolas"/>
          <w:sz w:val="22"/>
        </w:rPr>
        <w:t>Spatial + 5×Global</w:t>
      </w:r>
      <w:r>
        <w:rPr>
          <w:rFonts w:cs="Times New Roman"/>
        </w:rPr>
        <w:t xml:space="preserve"> 总分，并为四个变量输出 2030、2050、2100 年的真值、预测和误差图。由此，复现深度覆盖了原论文 CNN-LSTM 的数据协议、网络结构、训练规模、测试场景、评价指标和科学数据格式，而不是停留在单次前向传播或单变量示例层面。</w:t>
      </w:r>
    </w:p>
    <w:p w14:paraId="603F6774">
      <w:pPr>
        <w:pStyle w:val="38"/>
      </w:pPr>
      <w:r>
        <w:rPr>
          <w:rFonts w:eastAsia="宋体" w:cs="Times New Roman"/>
        </w:rPr>
        <w:t>5. 复现结果</w:t>
      </w:r>
    </w:p>
    <w:p w14:paraId="7B70C04D">
      <w:pPr>
        <w:pStyle w:val="40"/>
      </w:pPr>
      <w:r>
        <w:rPr>
          <w:rFonts w:cs="Times New Roman"/>
        </w:rPr>
        <w:t>本实验预测四个具有不同物理含义的目标变量。</w:t>
      </w:r>
      <w:r>
        <w:rPr>
          <w:rFonts w:ascii="Consolas" w:hAnsi="Consolas" w:eastAsia="等线" w:cs="Consolas"/>
          <w:sz w:val="22"/>
        </w:rPr>
        <w:t>tas</w:t>
      </w:r>
      <w:r>
        <w:rPr>
          <w:rFonts w:cs="Times New Roman"/>
        </w:rPr>
        <w:t xml:space="preserve"> 是年平均近地表气温异常，主要反映温室气体驱动的整体增暖及其区域差异；</w:t>
      </w:r>
      <w:r>
        <w:rPr>
          <w:rFonts w:ascii="Consolas" w:hAnsi="Consolas" w:eastAsia="等线" w:cs="Consolas"/>
          <w:sz w:val="22"/>
        </w:rPr>
        <w:t>pr</w:t>
      </w:r>
      <w:r>
        <w:rPr>
          <w:rFonts w:cs="Times New Roman"/>
        </w:rPr>
        <w:t xml:space="preserve"> 是年平均降水异常，用于描述水循环平均状态的变化；</w:t>
      </w:r>
      <w:r>
        <w:rPr>
          <w:rFonts w:ascii="Consolas" w:hAnsi="Consolas" w:eastAsia="等线" w:cs="Consolas"/>
          <w:sz w:val="22"/>
        </w:rPr>
        <w:t>DTR</w:t>
      </w:r>
      <w:r>
        <w:rPr>
          <w:rFonts w:cs="Times New Roman"/>
        </w:rPr>
        <w:t xml:space="preserve"> 是每日最高与最低近地表气温之差的年平均异常，对陆海差异和气溶胶强迫较敏感；</w:t>
      </w:r>
      <w:r>
        <w:rPr>
          <w:rFonts w:ascii="Consolas" w:hAnsi="Consolas" w:eastAsia="等线" w:cs="Consolas"/>
          <w:sz w:val="22"/>
        </w:rPr>
        <w:t>pr90</w:t>
      </w:r>
      <w:r>
        <w:rPr>
          <w:rFonts w:cs="Times New Roman"/>
        </w:rPr>
        <w:t xml:space="preserve"> 是逐年每日降水量的第 90 百分位异常，用于表示强降水变化。四者均相对于 NorESM2 工业化前控制试验气候态计算，其中 pr 和 pr90 以 mm/day 表示，tas 和 DTR 以 K 表示。选择这四项任务可以同时检验模型对近线性温度响应、非线性降水响应及极端事件的学习能力。</w:t>
      </w:r>
    </w:p>
    <w:p w14:paraId="2F8E5125">
      <w:pPr>
        <w:pStyle w:val="40"/>
      </w:pPr>
      <w:r>
        <w:rPr>
          <w:rFonts w:cs="Times New Roman"/>
        </w:rPr>
        <w:t xml:space="preserve">四个变量均完成 30 个 epoch 训练，并生成最终 checkpoint、SSP245 年度预测、评价 CSV 和空间分布图。训练数据张量为 </w:t>
      </w:r>
      <w:r>
        <w:rPr>
          <w:rFonts w:ascii="Consolas" w:hAnsi="Consolas" w:eastAsia="等线" w:cs="Consolas"/>
          <w:sz w:val="22"/>
        </w:rPr>
        <w:t>(726,10,96,144,4)</w:t>
      </w:r>
      <w:r>
        <w:rPr>
          <w:rFonts w:cs="Times New Roman"/>
        </w:rPr>
        <w:t xml:space="preserve">，标签为 </w:t>
      </w:r>
      <w:r>
        <w:rPr>
          <w:rFonts w:ascii="Consolas" w:hAnsi="Consolas" w:eastAsia="等线" w:cs="Consolas"/>
          <w:sz w:val="22"/>
        </w:rPr>
        <w:t>(726,1,96,144)</w:t>
      </w:r>
      <w:r>
        <w:rPr>
          <w:rFonts w:cs="Times New Roman"/>
        </w:rPr>
        <w:t>。tas 的平均 MSE 从首轮 2.7613 降至 0.2768，下降最明显；pr 从 0.3086 降至 0.2604，DTR 从 0.0600 降至 0.0303，pr90 从 2.6943 降至 2.2920。由于变量量纲和响应幅度不同，训练 MSE 不能直接横向比较，但四项任务的末轮损失均低于首轮，说明 MindSpore 训练链路能够稳定优化模型。</w:t>
      </w:r>
    </w:p>
    <w:p w14:paraId="01CBC5FF">
      <w:pPr>
        <w:pStyle w:val="40"/>
      </w:pPr>
      <w:r>
        <w:rPr>
          <w:rFonts w:cs="Times New Roman"/>
        </w:rPr>
        <w:t>MindSpore 复现结果与论文 Neural Network baseline 对比如下。所有指标均在留出的 SSP245 场景上按 2080-2100 年计算，Spatial 衡量多年平均空间格局，Global 衡量全球均值时间演化，Total 为两者的加权总分，数值越低越好。百分比差值</w:t>
      </w:r>
      <w:r>
        <w:rPr>
          <w:rFonts w:hint="eastAsia" w:cs="Times New Roman"/>
          <w:lang w:val="en-US" w:eastAsia="zh-CN"/>
        </w:rPr>
        <w:t>中</w:t>
      </w:r>
      <w:r>
        <w:rPr>
          <w:rFonts w:hint="eastAsia" w:cs="Times New Roman"/>
        </w:rPr>
        <w:t>负值表示本作业得到的总分更低。</w:t>
      </w: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1280"/>
        <w:gridCol w:w="956"/>
        <w:gridCol w:w="1280"/>
        <w:gridCol w:w="941"/>
        <w:gridCol w:w="1280"/>
        <w:gridCol w:w="988"/>
        <w:gridCol w:w="976"/>
      </w:tblGrid>
      <w:tr w14:paraId="4240C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777B0B">
            <w:pPr>
              <w:jc w:val="center"/>
              <w:rPr>
                <w:sz w:val="36"/>
                <w:szCs w:val="32"/>
              </w:rPr>
            </w:pPr>
            <w:r>
              <w:rPr>
                <w:rFonts w:cs="Times New Roman"/>
                <w:b/>
                <w:sz w:val="22"/>
                <w:szCs w:val="32"/>
              </w:rPr>
              <w:t>变量</w:t>
            </w:r>
          </w:p>
        </w:tc>
        <w:tc>
          <w:tcPr>
            <w:tcW w:w="106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B7F956">
            <w:pPr>
              <w:jc w:val="center"/>
              <w:rPr>
                <w:sz w:val="36"/>
                <w:szCs w:val="32"/>
              </w:rPr>
            </w:pPr>
            <w:r>
              <w:rPr>
                <w:rFonts w:cs="Times New Roman"/>
                <w:b/>
                <w:sz w:val="22"/>
                <w:szCs w:val="32"/>
              </w:rPr>
              <w:t>MindSpore Spatial</w:t>
            </w:r>
          </w:p>
        </w:tc>
        <w:tc>
          <w:tcPr>
            <w:tcW w:w="106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E54CC0">
            <w:pPr>
              <w:jc w:val="center"/>
              <w:rPr>
                <w:sz w:val="36"/>
                <w:szCs w:val="32"/>
              </w:rPr>
            </w:pPr>
            <w:r>
              <w:rPr>
                <w:rFonts w:cs="Times New Roman"/>
                <w:b/>
                <w:sz w:val="22"/>
                <w:szCs w:val="32"/>
              </w:rPr>
              <w:t>原文 Spatial</w:t>
            </w:r>
          </w:p>
        </w:tc>
        <w:tc>
          <w:tcPr>
            <w:tcW w:w="106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BE39CB">
            <w:pPr>
              <w:jc w:val="center"/>
              <w:rPr>
                <w:sz w:val="36"/>
                <w:szCs w:val="32"/>
              </w:rPr>
            </w:pPr>
            <w:r>
              <w:rPr>
                <w:rFonts w:cs="Times New Roman"/>
                <w:b/>
                <w:sz w:val="22"/>
                <w:szCs w:val="32"/>
              </w:rPr>
              <w:t>MindSpore Global</w:t>
            </w:r>
          </w:p>
        </w:tc>
        <w:tc>
          <w:tcPr>
            <w:tcW w:w="106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BBE4A2">
            <w:pPr>
              <w:jc w:val="center"/>
              <w:rPr>
                <w:sz w:val="36"/>
                <w:szCs w:val="32"/>
              </w:rPr>
            </w:pPr>
            <w:r>
              <w:rPr>
                <w:rFonts w:cs="Times New Roman"/>
                <w:b/>
                <w:sz w:val="22"/>
                <w:szCs w:val="32"/>
              </w:rPr>
              <w:t>原文 Global</w:t>
            </w:r>
          </w:p>
        </w:tc>
        <w:tc>
          <w:tcPr>
            <w:tcW w:w="106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3EE40E">
            <w:pPr>
              <w:jc w:val="center"/>
              <w:rPr>
                <w:sz w:val="36"/>
                <w:szCs w:val="32"/>
              </w:rPr>
            </w:pPr>
            <w:r>
              <w:rPr>
                <w:rFonts w:cs="Times New Roman"/>
                <w:b/>
                <w:sz w:val="22"/>
                <w:szCs w:val="32"/>
              </w:rPr>
              <w:t>MindSpore Total</w:t>
            </w:r>
          </w:p>
        </w:tc>
        <w:tc>
          <w:tcPr>
            <w:tcW w:w="106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BFD8B0">
            <w:pPr>
              <w:jc w:val="center"/>
              <w:rPr>
                <w:sz w:val="36"/>
                <w:szCs w:val="32"/>
              </w:rPr>
            </w:pPr>
            <w:r>
              <w:rPr>
                <w:rFonts w:cs="Times New Roman"/>
                <w:b/>
                <w:sz w:val="22"/>
                <w:szCs w:val="32"/>
              </w:rPr>
              <w:t>原文 Total</w:t>
            </w:r>
          </w:p>
        </w:tc>
        <w:tc>
          <w:tcPr>
            <w:tcW w:w="106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2577E0">
            <w:pPr>
              <w:jc w:val="center"/>
              <w:rPr>
                <w:rFonts w:cs="Times New Roman"/>
                <w:b/>
                <w:sz w:val="22"/>
                <w:szCs w:val="32"/>
              </w:rPr>
            </w:pPr>
            <w:r>
              <w:rPr>
                <w:rFonts w:cs="Times New Roman"/>
                <w:b/>
                <w:sz w:val="22"/>
                <w:szCs w:val="32"/>
              </w:rPr>
              <w:t>Total 百分比差值</w:t>
            </w:r>
          </w:p>
        </w:tc>
      </w:tr>
      <w:tr w14:paraId="38B9A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47BE0C">
            <w:pPr>
              <w:jc w:val="center"/>
              <w:rPr>
                <w:sz w:val="36"/>
                <w:szCs w:val="32"/>
              </w:rPr>
            </w:pPr>
            <w:r>
              <w:rPr>
                <w:rFonts w:cs="Times New Roman"/>
                <w:sz w:val="22"/>
                <w:szCs w:val="32"/>
              </w:rPr>
              <w:t>tas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52864A">
            <w:pPr>
              <w:jc w:val="center"/>
              <w:rPr>
                <w:sz w:val="36"/>
                <w:szCs w:val="32"/>
              </w:rPr>
            </w:pPr>
            <w:r>
              <w:rPr>
                <w:rFonts w:cs="Times New Roman"/>
                <w:sz w:val="22"/>
                <w:szCs w:val="32"/>
              </w:rPr>
              <w:t>0.0646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F673A3">
            <w:pPr>
              <w:jc w:val="center"/>
              <w:rPr>
                <w:sz w:val="36"/>
                <w:szCs w:val="32"/>
              </w:rPr>
            </w:pPr>
            <w:r>
              <w:rPr>
                <w:rFonts w:cs="Times New Roman"/>
                <w:sz w:val="22"/>
                <w:szCs w:val="32"/>
              </w:rPr>
              <w:t>0.1073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BF1B3D">
            <w:pPr>
              <w:jc w:val="center"/>
              <w:rPr>
                <w:sz w:val="36"/>
                <w:szCs w:val="32"/>
              </w:rPr>
            </w:pPr>
            <w:r>
              <w:rPr>
                <w:rFonts w:cs="Times New Roman"/>
                <w:sz w:val="22"/>
                <w:szCs w:val="32"/>
              </w:rPr>
              <w:t>0.0526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84E9FF">
            <w:pPr>
              <w:jc w:val="center"/>
              <w:rPr>
                <w:sz w:val="36"/>
                <w:szCs w:val="32"/>
              </w:rPr>
            </w:pPr>
            <w:r>
              <w:rPr>
                <w:rFonts w:cs="Times New Roman"/>
                <w:sz w:val="22"/>
                <w:szCs w:val="32"/>
              </w:rPr>
              <w:t>0.0440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11B89F">
            <w:pPr>
              <w:jc w:val="center"/>
              <w:rPr>
                <w:sz w:val="36"/>
                <w:szCs w:val="32"/>
              </w:rPr>
            </w:pPr>
            <w:r>
              <w:rPr>
                <w:rFonts w:cs="Times New Roman"/>
                <w:sz w:val="22"/>
                <w:szCs w:val="32"/>
              </w:rPr>
              <w:t>0.3275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E49590">
            <w:pPr>
              <w:jc w:val="center"/>
              <w:rPr>
                <w:sz w:val="36"/>
                <w:szCs w:val="32"/>
              </w:rPr>
            </w:pPr>
            <w:r>
              <w:rPr>
                <w:rFonts w:cs="Times New Roman"/>
                <w:sz w:val="22"/>
                <w:szCs w:val="32"/>
              </w:rPr>
              <w:t>0.3274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C04080">
            <w:pPr>
              <w:jc w:val="center"/>
              <w:rPr>
                <w:rFonts w:cs="Times New Roman"/>
                <w:sz w:val="22"/>
                <w:szCs w:val="32"/>
              </w:rPr>
            </w:pPr>
            <w:r>
              <w:rPr>
                <w:rFonts w:cs="Times New Roman"/>
                <w:sz w:val="22"/>
                <w:szCs w:val="32"/>
              </w:rPr>
              <w:t>+0.02%</w:t>
            </w:r>
          </w:p>
        </w:tc>
      </w:tr>
      <w:tr w14:paraId="48470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603F7F">
            <w:pPr>
              <w:jc w:val="center"/>
              <w:rPr>
                <w:sz w:val="36"/>
                <w:szCs w:val="32"/>
              </w:rPr>
            </w:pPr>
            <w:r>
              <w:rPr>
                <w:rFonts w:cs="Times New Roman"/>
                <w:sz w:val="22"/>
                <w:szCs w:val="32"/>
              </w:rPr>
              <w:t>pr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70E2F2">
            <w:pPr>
              <w:jc w:val="center"/>
              <w:rPr>
                <w:sz w:val="36"/>
                <w:szCs w:val="32"/>
              </w:rPr>
            </w:pPr>
            <w:r>
              <w:rPr>
                <w:rFonts w:cs="Times New Roman"/>
                <w:sz w:val="22"/>
                <w:szCs w:val="32"/>
              </w:rPr>
              <w:t>2.1815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BF48D6">
            <w:pPr>
              <w:jc w:val="center"/>
              <w:rPr>
                <w:sz w:val="36"/>
                <w:szCs w:val="32"/>
              </w:rPr>
            </w:pPr>
            <w:r>
              <w:rPr>
                <w:rFonts w:cs="Times New Roman"/>
                <w:sz w:val="22"/>
                <w:szCs w:val="32"/>
              </w:rPr>
              <w:t>2.1281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5A1B4C">
            <w:pPr>
              <w:jc w:val="center"/>
              <w:rPr>
                <w:sz w:val="36"/>
                <w:szCs w:val="32"/>
              </w:rPr>
            </w:pPr>
            <w:r>
              <w:rPr>
                <w:rFonts w:cs="Times New Roman"/>
                <w:sz w:val="22"/>
                <w:szCs w:val="32"/>
              </w:rPr>
              <w:t>0.1683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D61F7C">
            <w:pPr>
              <w:jc w:val="center"/>
              <w:rPr>
                <w:sz w:val="36"/>
                <w:szCs w:val="32"/>
              </w:rPr>
            </w:pPr>
            <w:r>
              <w:rPr>
                <w:rFonts w:cs="Times New Roman"/>
                <w:sz w:val="22"/>
                <w:szCs w:val="32"/>
              </w:rPr>
              <w:t>0.2093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828899">
            <w:pPr>
              <w:jc w:val="center"/>
              <w:rPr>
                <w:sz w:val="36"/>
                <w:szCs w:val="32"/>
              </w:rPr>
            </w:pPr>
            <w:r>
              <w:rPr>
                <w:rFonts w:cs="Times New Roman"/>
                <w:sz w:val="22"/>
                <w:szCs w:val="32"/>
              </w:rPr>
              <w:t>3.0231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BF4A65">
            <w:pPr>
              <w:jc w:val="center"/>
              <w:rPr>
                <w:sz w:val="36"/>
                <w:szCs w:val="32"/>
              </w:rPr>
            </w:pPr>
            <w:r>
              <w:rPr>
                <w:rFonts w:cs="Times New Roman"/>
                <w:sz w:val="22"/>
                <w:szCs w:val="32"/>
              </w:rPr>
              <w:t>3.1746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227132">
            <w:pPr>
              <w:jc w:val="center"/>
              <w:rPr>
                <w:rFonts w:cs="Times New Roman"/>
                <w:sz w:val="22"/>
                <w:szCs w:val="32"/>
              </w:rPr>
            </w:pPr>
            <w:r>
              <w:rPr>
                <w:rFonts w:cs="Times New Roman"/>
                <w:sz w:val="22"/>
                <w:szCs w:val="32"/>
              </w:rPr>
              <w:t>-4.77%</w:t>
            </w:r>
          </w:p>
        </w:tc>
      </w:tr>
      <w:tr w14:paraId="06A00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8F4D2E">
            <w:pPr>
              <w:jc w:val="center"/>
              <w:rPr>
                <w:sz w:val="36"/>
                <w:szCs w:val="32"/>
              </w:rPr>
            </w:pPr>
            <w:r>
              <w:rPr>
                <w:rFonts w:cs="Times New Roman"/>
                <w:sz w:val="22"/>
                <w:szCs w:val="32"/>
              </w:rPr>
              <w:t>DTR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90BB98">
            <w:pPr>
              <w:jc w:val="center"/>
              <w:rPr>
                <w:sz w:val="36"/>
                <w:szCs w:val="32"/>
              </w:rPr>
            </w:pPr>
            <w:r>
              <w:rPr>
                <w:rFonts w:cs="Times New Roman"/>
                <w:sz w:val="22"/>
                <w:szCs w:val="32"/>
              </w:rPr>
              <w:t>8.6731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79A6E9">
            <w:pPr>
              <w:jc w:val="center"/>
              <w:rPr>
                <w:sz w:val="36"/>
                <w:szCs w:val="32"/>
              </w:rPr>
            </w:pPr>
            <w:r>
              <w:rPr>
                <w:rFonts w:cs="Times New Roman"/>
                <w:sz w:val="22"/>
                <w:szCs w:val="32"/>
              </w:rPr>
              <w:t>9.9174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0519AE">
            <w:pPr>
              <w:jc w:val="center"/>
              <w:rPr>
                <w:sz w:val="36"/>
                <w:szCs w:val="32"/>
              </w:rPr>
            </w:pPr>
            <w:r>
              <w:rPr>
                <w:rFonts w:cs="Times New Roman"/>
                <w:sz w:val="22"/>
                <w:szCs w:val="32"/>
              </w:rPr>
              <w:t>1.0709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B6E461">
            <w:pPr>
              <w:jc w:val="center"/>
              <w:rPr>
                <w:sz w:val="36"/>
                <w:szCs w:val="32"/>
              </w:rPr>
            </w:pPr>
            <w:r>
              <w:rPr>
                <w:rFonts w:cs="Times New Roman"/>
                <w:sz w:val="22"/>
                <w:szCs w:val="32"/>
              </w:rPr>
              <w:t>1.3722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64319B">
            <w:pPr>
              <w:jc w:val="center"/>
              <w:rPr>
                <w:sz w:val="36"/>
                <w:szCs w:val="32"/>
              </w:rPr>
            </w:pPr>
            <w:r>
              <w:rPr>
                <w:rFonts w:cs="Times New Roman"/>
                <w:sz w:val="22"/>
                <w:szCs w:val="32"/>
              </w:rPr>
              <w:t>14.0277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CFF561">
            <w:pPr>
              <w:jc w:val="center"/>
              <w:rPr>
                <w:sz w:val="36"/>
                <w:szCs w:val="32"/>
              </w:rPr>
            </w:pPr>
            <w:r>
              <w:rPr>
                <w:rFonts w:cs="Times New Roman"/>
                <w:sz w:val="22"/>
                <w:szCs w:val="32"/>
              </w:rPr>
              <w:t>16.7783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26020A">
            <w:pPr>
              <w:jc w:val="center"/>
              <w:rPr>
                <w:rFonts w:cs="Times New Roman"/>
                <w:sz w:val="22"/>
                <w:szCs w:val="32"/>
              </w:rPr>
            </w:pPr>
            <w:r>
              <w:rPr>
                <w:rFonts w:cs="Times New Roman"/>
                <w:sz w:val="22"/>
                <w:szCs w:val="32"/>
              </w:rPr>
              <w:t>-16.39%</w:t>
            </w:r>
          </w:p>
        </w:tc>
      </w:tr>
      <w:tr w14:paraId="5AF26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E31030">
            <w:pPr>
              <w:jc w:val="center"/>
              <w:rPr>
                <w:sz w:val="36"/>
                <w:szCs w:val="32"/>
              </w:rPr>
            </w:pPr>
            <w:r>
              <w:rPr>
                <w:rFonts w:cs="Times New Roman"/>
                <w:sz w:val="22"/>
                <w:szCs w:val="32"/>
              </w:rPr>
              <w:t>pr90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F0E817">
            <w:pPr>
              <w:jc w:val="center"/>
              <w:rPr>
                <w:sz w:val="36"/>
                <w:szCs w:val="32"/>
              </w:rPr>
            </w:pPr>
            <w:r>
              <w:rPr>
                <w:rFonts w:cs="Times New Roman"/>
                <w:sz w:val="22"/>
                <w:szCs w:val="32"/>
              </w:rPr>
              <w:t>2.3939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048E5B">
            <w:pPr>
              <w:jc w:val="center"/>
              <w:rPr>
                <w:sz w:val="36"/>
                <w:szCs w:val="32"/>
              </w:rPr>
            </w:pPr>
            <w:r>
              <w:rPr>
                <w:rFonts w:cs="Times New Roman"/>
                <w:sz w:val="22"/>
                <w:szCs w:val="32"/>
              </w:rPr>
              <w:t>2.6102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D5DDEC">
            <w:pPr>
              <w:jc w:val="center"/>
              <w:rPr>
                <w:sz w:val="36"/>
                <w:szCs w:val="32"/>
              </w:rPr>
            </w:pPr>
            <w:r>
              <w:rPr>
                <w:rFonts w:cs="Times New Roman"/>
                <w:sz w:val="22"/>
                <w:szCs w:val="32"/>
              </w:rPr>
              <w:t>0.3190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AF8EAB">
            <w:pPr>
              <w:jc w:val="center"/>
              <w:rPr>
                <w:sz w:val="36"/>
                <w:szCs w:val="32"/>
              </w:rPr>
            </w:pPr>
            <w:r>
              <w:rPr>
                <w:rFonts w:cs="Times New Roman"/>
                <w:sz w:val="22"/>
                <w:szCs w:val="32"/>
              </w:rPr>
              <w:t>0.3457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00D7C3">
            <w:pPr>
              <w:jc w:val="center"/>
              <w:rPr>
                <w:sz w:val="36"/>
                <w:szCs w:val="32"/>
              </w:rPr>
            </w:pPr>
            <w:r>
              <w:rPr>
                <w:rFonts w:cs="Times New Roman"/>
                <w:sz w:val="22"/>
                <w:szCs w:val="32"/>
              </w:rPr>
              <w:t>3.9890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624309">
            <w:pPr>
              <w:jc w:val="center"/>
              <w:rPr>
                <w:sz w:val="36"/>
                <w:szCs w:val="32"/>
              </w:rPr>
            </w:pPr>
            <w:r>
              <w:rPr>
                <w:rFonts w:cs="Times New Roman"/>
                <w:sz w:val="22"/>
                <w:szCs w:val="32"/>
              </w:rPr>
              <w:t>4.3388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ABB2F2">
            <w:pPr>
              <w:jc w:val="center"/>
              <w:rPr>
                <w:rFonts w:cs="Times New Roman"/>
                <w:sz w:val="22"/>
                <w:szCs w:val="32"/>
              </w:rPr>
            </w:pPr>
            <w:r>
              <w:rPr>
                <w:rFonts w:cs="Times New Roman"/>
                <w:sz w:val="22"/>
                <w:szCs w:val="32"/>
              </w:rPr>
              <w:t>-8.06%</w:t>
            </w:r>
          </w:p>
        </w:tc>
      </w:tr>
    </w:tbl>
    <w:p w14:paraId="79D9C354"/>
    <w:p w14:paraId="322759CA">
      <w:pPr>
        <w:pStyle w:val="40"/>
      </w:pPr>
      <w:r>
        <w:rPr>
          <w:rFonts w:cs="Times New Roman"/>
        </w:rPr>
        <w:t>tas 的总分为 0.3275，与原文 0.3274 几乎一致；其空间误差更低，而全球误差略高，组合后实现了高度接近的总体精度。pr 的总分为 3.0231，较原文降低约 4.8%，改善主要来自全球均值误差下降。DTR 和 pr90 的总分分别为 14.0277 和 3.9890，较原文降低约 16.4% 和 8.1%，空间项和全球项均有所改善。四项总分都达到与论文 baseline 相当的量级，说明 MindSpore 实现保留了 CNN-LSTM 对空间结构和多年滞后的建模能力。由于优化器、LSTM 激活、随机初始化和标准化统计与原实现存在差别，且没有进行多随机种子重复，这些数值不用于证明某一框架更优，而用于说明迁移复现达到了预期精度。</w:t>
      </w:r>
    </w:p>
    <w:p w14:paraId="2AAC5FFE">
      <w:pPr>
        <w:pStyle w:val="40"/>
        <w:rPr>
          <w:rFonts w:cs="Times New Roman"/>
        </w:rPr>
      </w:pPr>
      <w:r>
        <w:rPr>
          <w:rFonts w:cs="Times New Roman"/>
        </w:rPr>
        <w:t>图 1 对比 2100 年 SSP245 下 tas 的真实场、预测场和误差场。预测结果正确再现了北半球高纬度显著增暖、北极放大以及北大西洋局地弱增暖或冷异常等主要结构，真值与预测图在大尺度分布上高度一致。误差主要集中于北半球高纬度、南大洋和部分陆地区域，热带及南半球部分区域存在轻微低估，但相对于整体增暖幅度较小，这与 tas 较低的 Spatial NRMSE 一致。</w:t>
      </w:r>
    </w:p>
    <w:p w14:paraId="559BA517">
      <w:pPr>
        <w:pStyle w:val="40"/>
        <w:ind w:left="0" w:leftChars="0" w:firstLine="0" w:firstLineChars="0"/>
        <w:rPr>
          <w:rFonts w:cs="Times New Roman"/>
        </w:rPr>
      </w:pPr>
    </w:p>
    <w:p w14:paraId="28F073E7">
      <w:pPr>
        <w:pStyle w:val="40"/>
        <w:ind w:left="0" w:leftChars="0" w:firstLine="0" w:firstLineChars="0"/>
        <w:rPr>
          <w:rFonts w:cs="Times New Roman"/>
        </w:rPr>
      </w:pPr>
    </w:p>
    <w:p w14:paraId="5F54DAB4">
      <w:pPr>
        <w:pStyle w:val="40"/>
        <w:ind w:left="0" w:leftChars="0" w:firstLine="0" w:firstLineChars="0"/>
        <w:rPr>
          <w:rFonts w:cs="Times New Roman"/>
        </w:rPr>
      </w:pPr>
    </w:p>
    <w:tbl>
      <w:tblPr>
        <w:tblStyle w:val="1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57DEFA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2769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1EB634C">
            <w:pPr>
              <w:spacing w:after="40"/>
              <w:jc w:val="center"/>
              <w:rPr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2100 年 tas 真值</w:t>
            </w:r>
          </w:p>
        </w:tc>
        <w:tc>
          <w:tcPr>
            <w:tcW w:w="2769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E4D3426">
            <w:pPr>
              <w:spacing w:after="40"/>
              <w:jc w:val="center"/>
              <w:rPr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2100 年 tas 预测</w:t>
            </w:r>
          </w:p>
        </w:tc>
        <w:tc>
          <w:tcPr>
            <w:tcW w:w="2769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39AF5CD">
            <w:pPr>
              <w:spacing w:after="40"/>
              <w:jc w:val="center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2100 年 tas 误差</w:t>
            </w:r>
          </w:p>
          <w:p w14:paraId="62D671F7">
            <w:pPr>
              <w:spacing w:after="40"/>
              <w:jc w:val="center"/>
              <w:rPr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（预测减真值）</w:t>
            </w:r>
          </w:p>
        </w:tc>
      </w:tr>
      <w:tr w14:paraId="636697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040D90A">
            <w:pPr>
              <w:jc w:val="center"/>
            </w:pPr>
            <w:r>
              <w:drawing>
                <wp:inline distT="0" distB="0" distL="0" distR="0">
                  <wp:extent cx="1810385" cy="9048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12" cy="905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9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D3081B">
            <w:pPr>
              <w:jc w:val="center"/>
            </w:pPr>
            <w:r>
              <w:drawing>
                <wp:inline distT="0" distB="0" distL="0" distR="0">
                  <wp:extent cx="1810385" cy="90487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12" cy="905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9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EAEBD9">
            <w:pPr>
              <w:jc w:val="center"/>
            </w:pPr>
            <w:r>
              <w:drawing>
                <wp:inline distT="0" distB="0" distL="0" distR="0">
                  <wp:extent cx="1810385" cy="90487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12" cy="905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BC03E3"/>
    <w:p w14:paraId="54EE0556">
      <w:pPr>
        <w:pStyle w:val="40"/>
      </w:pPr>
      <w:r>
        <w:rPr>
          <w:rFonts w:cs="Times New Roman"/>
        </w:rPr>
        <w:t>图 2 展示更具挑战性的 pr90 结果。模型能够识别极端降水变化主要集中在赤道附近，并重现热带太平洋和印度</w:t>
      </w:r>
      <w:bookmarkStart w:id="0" w:name="_GoBack"/>
      <w:bookmarkEnd w:id="0"/>
      <w:r>
        <w:rPr>
          <w:rFonts w:cs="Times New Roman"/>
        </w:rPr>
        <w:t>洋附近的正负异常带，但预测场比真值更平滑，局地峰值强度和位置仍有偏差。误差集中在热带辐合带及其南北两侧，表明极端降水对局地环流、海气耦合和气溶胶影响更敏感，也解释了 pr90 的空间 NRMSE 明显高于 tas。总体而言，可视化结果与定量指标相互印证：模型能够稳定恢复大尺度气候响应，但对降水极值的精细空间结构仍有改进空间。</w:t>
      </w:r>
    </w:p>
    <w:tbl>
      <w:tblPr>
        <w:tblStyle w:val="1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62CC4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A4FA768">
            <w:pPr>
              <w:spacing w:after="40"/>
              <w:jc w:val="center"/>
              <w:rPr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2100 年 pr90 真值</w:t>
            </w:r>
          </w:p>
        </w:tc>
        <w:tc>
          <w:tcPr>
            <w:tcW w:w="2769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CD62196">
            <w:pPr>
              <w:spacing w:after="40"/>
              <w:jc w:val="center"/>
              <w:rPr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2100 年 pr90 预测</w:t>
            </w:r>
          </w:p>
        </w:tc>
        <w:tc>
          <w:tcPr>
            <w:tcW w:w="2769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975269B">
            <w:pPr>
              <w:spacing w:after="40"/>
              <w:jc w:val="center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2100 年 pr90 误差</w:t>
            </w:r>
          </w:p>
          <w:p w14:paraId="6DD36B67">
            <w:pPr>
              <w:spacing w:after="40"/>
              <w:jc w:val="center"/>
              <w:rPr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（预测减真值）</w:t>
            </w:r>
          </w:p>
        </w:tc>
      </w:tr>
      <w:tr w14:paraId="0B6EC7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2F0FB82">
            <w:pPr>
              <w:jc w:val="center"/>
            </w:pPr>
            <w:r>
              <w:drawing>
                <wp:inline distT="0" distB="0" distL="0" distR="0">
                  <wp:extent cx="1810385" cy="90487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12" cy="905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9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1ED8A97">
            <w:pPr>
              <w:jc w:val="center"/>
            </w:pPr>
            <w:r>
              <w:drawing>
                <wp:inline distT="0" distB="0" distL="0" distR="0">
                  <wp:extent cx="1810385" cy="90487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12" cy="905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9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EA6699">
            <w:pPr>
              <w:jc w:val="center"/>
            </w:pPr>
            <w:r>
              <w:drawing>
                <wp:inline distT="0" distB="0" distL="0" distR="0">
                  <wp:extent cx="1810385" cy="90487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12" cy="905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F07094"/>
    <w:p w14:paraId="2A1BA0FA">
      <w:pPr>
        <w:pStyle w:val="38"/>
      </w:pPr>
      <w:r>
        <w:rPr>
          <w:rFonts w:eastAsia="宋体" w:cs="Times New Roman"/>
        </w:rPr>
        <w:t>参考文献</w:t>
      </w:r>
    </w:p>
    <w:p w14:paraId="00FB6E0B">
      <w:pPr>
        <w:pStyle w:val="41"/>
      </w:pPr>
      <w:r>
        <w:rPr>
          <w:rFonts w:cs="Times New Roman"/>
        </w:rPr>
        <w:t>[1] MEINSHAUSEN M, RAPER S C B, WIGLEY T M L. Emulating coupled atmosphere-ocean and carbon cycle models with a simpler model, MAGICC6-Part 1: Model description and calibration[J]. Atmospheric Chemistry and Physics, 2011, 11(4): 1417-1456. DOI:10.5194/acp-11-1417-2011.</w:t>
      </w:r>
    </w:p>
    <w:p w14:paraId="48B93998">
      <w:pPr>
        <w:pStyle w:val="41"/>
      </w:pPr>
      <w:r>
        <w:rPr>
          <w:rFonts w:cs="Times New Roman"/>
        </w:rPr>
        <w:t>[2] TEBALDI C, ARBLASTER J M. Pattern scaling: Its strengths and limitations, and an update on the latest model simulations[J]. Climatic Change, 2014, 122(3): 459-471. DOI:10.1007/s10584-013-1032-9.</w:t>
      </w:r>
    </w:p>
    <w:p w14:paraId="04E34C66">
      <w:pPr>
        <w:pStyle w:val="41"/>
      </w:pPr>
      <w:r>
        <w:rPr>
          <w:rFonts w:cs="Times New Roman"/>
        </w:rPr>
        <w:t>[3] CASTRUCCIO S, MCINERNEY D J, STEIN M L, et al. Statistical emulation of climate model projections based on precomputed GCM runs[J]. Journal of Climate, 2014, 27(5): 1829-1844. DOI:10.1175/JCLI-D-13-00099.1.</w:t>
      </w:r>
    </w:p>
    <w:p w14:paraId="1EF68B45">
      <w:pPr>
        <w:pStyle w:val="41"/>
      </w:pPr>
      <w:r>
        <w:rPr>
          <w:rFonts w:cs="Times New Roman"/>
        </w:rPr>
        <w:t>[4] BEUSCH L, GUDMUNDSSON L, SENEVIRATNE S I. Emulating Earth system model temperatures with MESMER: From global mean temperature trajectories to grid-point-level realizations on land[J]. Earth System Dynamics, 2020, 11(1): 139-159. DOI:10.5194/esd-11-139-2020.</w:t>
      </w:r>
    </w:p>
    <w:p w14:paraId="7349A1F7">
      <w:pPr>
        <w:pStyle w:val="41"/>
      </w:pPr>
      <w:r>
        <w:rPr>
          <w:rFonts w:cs="Times New Roman"/>
        </w:rPr>
        <w:t>[5] MANSFIELD L A, NOWACK P J, KASOAR M, et al. Predicting global patterns of long-term climate change from short-term simulations using machine learning[J]. npj Climate and Atmospheric Science, 2020, 3(1): 44. DOI:10.1038/s41612-020-00148-5.</w:t>
      </w:r>
    </w:p>
    <w:p w14:paraId="6AD78101">
      <w:pPr>
        <w:pStyle w:val="41"/>
      </w:pPr>
      <w:r>
        <w:rPr>
          <w:rFonts w:cs="Times New Roman"/>
        </w:rPr>
        <w:t>[6] WATSON-PARRIS D, WILLIAMS A, DEACONU L, et al. Model calibration using ESEm v1.1.0: An open, scalable Earth system emulator[J]. Geoscientific Model Development, 2021, 14(12): 7659-7672. DOI:10.5194/gmd-14-7659-2021.</w:t>
      </w:r>
    </w:p>
    <w:p w14:paraId="687D025D">
      <w:pPr>
        <w:pStyle w:val="41"/>
      </w:pPr>
      <w:r>
        <w:rPr>
          <w:rFonts w:cs="Times New Roman"/>
        </w:rPr>
        <w:t>[7] REICHSTEIN M, CAMPS-VALLS G, STEVENS B, et al. Deep learning and process understanding for data-driven Earth system science[J]. Nature, 2019, 566(7743): 195-204. DOI:10.1038/s41586-019-0912-1.</w:t>
      </w:r>
    </w:p>
    <w:p w14:paraId="1ED0A57E">
      <w:pPr>
        <w:pStyle w:val="41"/>
      </w:pPr>
      <w:r>
        <w:rPr>
          <w:rFonts w:cs="Times New Roman"/>
        </w:rPr>
        <w:t>[8] BEUCLER T, PRITCHARD M, RASP S, et al. Enforcing analytic constraints in neural networks emulating physical systems[J]. Physical Review Letters, 2021, 126(9): 098302. DOI:10.1103/PhysRevLett.126.098302.</w:t>
      </w:r>
    </w:p>
    <w:p w14:paraId="4569A857">
      <w:pPr>
        <w:pStyle w:val="41"/>
      </w:pPr>
      <w:r>
        <w:rPr>
          <w:rFonts w:cs="Times New Roman"/>
        </w:rPr>
        <w:t>[9] RASP S, DUEBEN P D, SCHER S, et al. WeatherBench: A benchmark data set for data-driven weather forecasting[J]. Journal of Advances in Modeling Earth Systems, 2020, 12(11): e2020MS002203. DOI:10.1029/2020MS002203.</w:t>
      </w:r>
    </w:p>
    <w:p w14:paraId="016BFC15">
      <w:pPr>
        <w:pStyle w:val="41"/>
      </w:pPr>
      <w:r>
        <w:rPr>
          <w:rFonts w:cs="Times New Roman"/>
        </w:rPr>
        <w:t>[10] WATSON-PARRIS D, RAO Y, OLIVIE D, et al. ClimateBench v1.0: A benchmark for data-driven climate projections[J]. Journal of Advances in Modeling Earth Systems, 2022, 14(10): e2021MS002954. DOI:10.1029/2021MS002954.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C264ED4"/>
    <w:multiLevelType w:val="multilevel"/>
    <w:tmpl w:val="6C264ED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6F3"/>
    <w:rsid w:val="00030615"/>
    <w:rsid w:val="000F2578"/>
    <w:rsid w:val="00174D7C"/>
    <w:rsid w:val="00184324"/>
    <w:rsid w:val="001926F3"/>
    <w:rsid w:val="001A7682"/>
    <w:rsid w:val="00294593"/>
    <w:rsid w:val="002B29F0"/>
    <w:rsid w:val="002C04AC"/>
    <w:rsid w:val="0030158F"/>
    <w:rsid w:val="003171D3"/>
    <w:rsid w:val="003F602A"/>
    <w:rsid w:val="00541480"/>
    <w:rsid w:val="00547CCF"/>
    <w:rsid w:val="005748C2"/>
    <w:rsid w:val="005F7D81"/>
    <w:rsid w:val="00633A2D"/>
    <w:rsid w:val="006A33CD"/>
    <w:rsid w:val="006E7CB4"/>
    <w:rsid w:val="007465FA"/>
    <w:rsid w:val="007B6EE1"/>
    <w:rsid w:val="00886143"/>
    <w:rsid w:val="00941A42"/>
    <w:rsid w:val="009C7870"/>
    <w:rsid w:val="00AB1D6A"/>
    <w:rsid w:val="00B1514A"/>
    <w:rsid w:val="00BD1DDF"/>
    <w:rsid w:val="00CB4A67"/>
    <w:rsid w:val="00CD1F60"/>
    <w:rsid w:val="00D061C1"/>
    <w:rsid w:val="00DC0126"/>
    <w:rsid w:val="00E77154"/>
    <w:rsid w:val="00F768A8"/>
    <w:rsid w:val="00FC7DF0"/>
    <w:rsid w:val="00FD7AE2"/>
    <w:rsid w:val="00FF771B"/>
    <w:rsid w:val="22A47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3">
    <w:name w:val="标题 6 字符"/>
    <w:basedOn w:val="17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uiPriority w:val="99"/>
    <w:rPr>
      <w:sz w:val="18"/>
      <w:szCs w:val="18"/>
    </w:rPr>
  </w:style>
  <w:style w:type="paragraph" w:customStyle="1" w:styleId="38">
    <w:name w:val="Report Heading 1"/>
    <w:uiPriority w:val="0"/>
    <w:pPr>
      <w:keepNext/>
      <w:spacing w:before="240" w:after="120"/>
    </w:pPr>
    <w:rPr>
      <w:rFonts w:ascii="Times New Roman" w:hAnsi="Times New Roman" w:eastAsia="黑体" w:cstheme="minorBidi"/>
      <w:b/>
      <w:kern w:val="2"/>
      <w:sz w:val="28"/>
      <w:szCs w:val="22"/>
      <w:lang w:val="en-US" w:eastAsia="zh-CN" w:bidi="ar-SA"/>
      <w14:ligatures w14:val="standardContextual"/>
    </w:rPr>
  </w:style>
  <w:style w:type="paragraph" w:customStyle="1" w:styleId="39">
    <w:name w:val="Report Heading 2"/>
    <w:uiPriority w:val="0"/>
    <w:pPr>
      <w:keepNext/>
      <w:spacing w:before="160" w:after="80"/>
    </w:pPr>
    <w:rPr>
      <w:rFonts w:ascii="Times New Roman" w:hAnsi="Times New Roman" w:eastAsia="黑体" w:cstheme="minorBidi"/>
      <w:b/>
      <w:kern w:val="2"/>
      <w:sz w:val="24"/>
      <w:szCs w:val="22"/>
      <w:lang w:val="en-US" w:eastAsia="zh-CN" w:bidi="ar-SA"/>
      <w14:ligatures w14:val="standardContextual"/>
    </w:rPr>
  </w:style>
  <w:style w:type="paragraph" w:customStyle="1" w:styleId="40">
    <w:name w:val="Report Body"/>
    <w:uiPriority w:val="0"/>
    <w:pPr>
      <w:spacing w:line="360" w:lineRule="auto"/>
      <w:ind w:firstLine="48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  <w14:ligatures w14:val="standardContextual"/>
    </w:rPr>
  </w:style>
  <w:style w:type="paragraph" w:customStyle="1" w:styleId="41">
    <w:name w:val="Report Reference"/>
    <w:uiPriority w:val="0"/>
    <w:pPr>
      <w:spacing w:after="60" w:line="288" w:lineRule="auto"/>
      <w:ind w:left="420" w:hanging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  <w14:ligatures w14:val="standardContextual"/>
    </w:rPr>
  </w:style>
  <w:style w:type="paragraph" w:customStyle="1" w:styleId="42">
    <w:name w:val="Report Code"/>
    <w:uiPriority w:val="0"/>
    <w:pPr>
      <w:spacing w:before="60" w:after="120"/>
      <w:ind w:left="240" w:right="240"/>
    </w:pPr>
    <w:rPr>
      <w:rFonts w:ascii="Consolas" w:hAnsi="Consolas" w:eastAsia="Consolas" w:cstheme="minorBidi"/>
      <w:kern w:val="2"/>
      <w:sz w:val="18"/>
      <w:szCs w:val="22"/>
      <w:lang w:val="en-US" w:eastAsia="zh-CN" w:bidi="ar-SA"/>
      <w14:ligatures w14:val="standardContextual"/>
    </w:rPr>
  </w:style>
  <w:style w:type="paragraph" w:customStyle="1" w:styleId="43">
    <w:name w:val="Equation"/>
    <w:uiPriority w:val="0"/>
    <w:pPr>
      <w:spacing w:before="100" w:after="100"/>
      <w:jc w:val="center"/>
    </w:pPr>
    <w:rPr>
      <w:rFonts w:ascii="Cambria Math" w:hAnsi="Cambria Math" w:eastAsia="Cambria Math" w:cstheme="minorBidi"/>
      <w:kern w:val="2"/>
      <w:sz w:val="22"/>
      <w:szCs w:val="22"/>
      <w:lang w:val="en-US" w:eastAsia="zh-CN" w:bidi="ar-SA"/>
      <w14:ligatures w14:val="standardContextual"/>
    </w:rPr>
  </w:style>
  <w:style w:type="paragraph" w:customStyle="1" w:styleId="44">
    <w:name w:val="Figure Caption"/>
    <w:uiPriority w:val="0"/>
    <w:pPr>
      <w:spacing w:before="60" w:after="120"/>
      <w:jc w:val="center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914</Words>
  <Characters>1110</Characters>
  <Lines>250</Lines>
  <Paragraphs>128</Paragraphs>
  <TotalTime>16</TotalTime>
  <ScaleCrop>false</ScaleCrop>
  <LinksUpToDate>false</LinksUpToDate>
  <CharactersWithSpaces>1155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2025-05-22T07:38:00Z</dcterms:created>
  <dc:creator>崇涵 高</dc:creator>
  <cp:keywords>ClimateBench, MindSpore, CNN-LSTM, 气候仿真</cp:keywords>
  <cp:lastModifiedBy>wasd</cp:lastModifiedBy>
  <dcterms:modified xsi:type="dcterms:W3CDTF">2026-06-21T04:23:23Z</dcterms:modified>
  <dc:subject>《AI学习框架与科学计算》课程大作业</dc:subject>
  <dc:title>ClimateBench-MindSpore 课程大作业报告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eyJoZGlkIjoiYTI4ZTcyZDkwYjdjODI5OTU2Y2JhNTJhNzdlZDkwYWYiLCJ1c2VySWQiOiI2Njk3MDM0NzIifQ==</vt:lpwstr>
  </property>
  <property fmtid="{D5CDD505-2E9C-101B-9397-08002B2CF9AE}" pid="3" name="KSOProductBuildVer">
    <vt:lpwstr>2052-12.1.0.26895</vt:lpwstr>
  </property>
  <property fmtid="{D5CDD505-2E9C-101B-9397-08002B2CF9AE}" pid="4" name="ICV">
    <vt:lpwstr>A98E35C87E5F4608B9350CB2E6C675D5_12</vt:lpwstr>
  </property>
</Properties>
</file>