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微软雅黑"/>
          <w:b/>
          <w:color w:val="000000"/>
          <w:sz w:val="42"/>
        </w:rPr>
        <w:t>学术成果分享平台需求调研报告</w:t>
      </w:r>
    </w:p>
    <w:p>
      <w:pPr>
        <w:spacing w:after="240"/>
      </w:pPr>
      <w:r>
        <w:rPr>
          <w:rFonts w:ascii="Arial" w:hAnsi="Arial" w:eastAsia="宋体"/>
          <w:b w:val="0"/>
          <w:color w:val="000000"/>
          <w:sz w:val="19"/>
        </w:rPr>
        <w:t>组号 01组　团队 自定义名称8　班级 谭火彬班</w:t>
        <w:br/>
        <w:t>团队负责人 李沐衡　版本 1.2　日期 2026年10月13日</w:t>
      </w:r>
    </w:p>
    <w:p>
      <w:r>
        <w:rPr>
          <w:rFonts w:ascii="Arial" w:hAnsi="Arial" w:eastAsia="宋体"/>
          <w:b w:val="0"/>
          <w:color w:val="000000"/>
          <w:sz w:val="22"/>
        </w:rPr>
        <w:t>本报告服务于需求调研与需求建模研讨，建议优先形成“可追溯的成果库、可审核的个人门户、可解释的检索与统计”三个能力。第一期覆盖论文、专利、科研项目和获奖四类成果；把合作路径解释作为创新功能。调研结论据课程任务书、官方资料、公开用户研究和接口小样本探测形成，需求优先级与数值指标属于本项目设计建议，待团队和教师评审确认。</w:t>
      </w:r>
    </w:p>
    <w:p>
      <w:pPr>
        <w:pStyle w:val="Heading1"/>
      </w:pPr>
      <w:r>
        <w:rPr>
          <w:rFonts w:ascii="Arial" w:hAnsi="Arial" w:eastAsia="微软雅黑"/>
          <w:b/>
          <w:color w:val="000000"/>
          <w:sz w:val="28"/>
        </w:rPr>
        <w:t>1 调研目标与范围</w:t>
      </w:r>
    </w:p>
    <w:p>
      <w:r>
        <w:rPr>
          <w:rFonts w:ascii="Arial" w:hAnsi="Arial" w:eastAsia="宋体"/>
          <w:b w:val="0"/>
          <w:color w:val="000000"/>
          <w:sz w:val="22"/>
        </w:rPr>
        <w:t>调研要回答五个问题：谁在什么场景使用平台；四类成果从哪里来；怎样保证成果与人的关联可信；需求如何分期；用什么可观察结果验收。本轮覆盖需求调研和需求建模，后续架构选型、详细数据库设计、编码、性能实测在对应课程阶段开展。[C1][C2]</w:t>
      </w:r>
    </w:p>
    <w:p>
      <w:r>
        <w:rPr>
          <w:rFonts w:ascii="Arial" w:hAnsi="Arial" w:eastAsia="宋体"/>
          <w:b w:val="0"/>
          <w:color w:val="000000"/>
          <w:sz w:val="22"/>
        </w:rPr>
        <w:t>系统一期提供公开成果共享、分类检索、学者门户、认领审核、成果维护、数据采集治理和统计分析。付费全文下载、成果交易、专利转让、私信社交、论文自动撰写暂不进入一期。保留成果类型和来源扩展能力，后期增值业务另行调研。</w:t>
      </w:r>
    </w:p>
    <w:p>
      <w:pPr>
        <w:pStyle w:val="Heading1"/>
      </w:pPr>
      <w:r>
        <w:rPr>
          <w:rFonts w:ascii="Arial" w:hAnsi="Arial" w:eastAsia="微软雅黑"/>
          <w:b/>
          <w:color w:val="000000"/>
          <w:sz w:val="28"/>
        </w:rPr>
        <w:t>2 调研方案与执行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1701"/>
        <w:gridCol w:w="2551"/>
        <w:gridCol w:w="2551"/>
        <w:gridCol w:w="2551"/>
      </w:tblGrid>
      <w:tr>
        <w:trPr>
          <w:cantSplit/>
          <w:tblHeader/>
        </w:trPr>
        <w:tc>
          <w:tcPr>
            <w:tcW w:type="dxa" w:w="1701"/>
            <w:vAlign w:val="center"/>
            <w:shd w:fill="E8EEF4"/>
          </w:tcPr>
          <w:p>
            <w:pPr>
              <w:keepNext/>
              <w:spacing w:after="0" w:before="0" w:line="276" w:lineRule="auto"/>
              <w:jc w:val="center"/>
            </w:pPr>
            <w:r>
              <w:rPr>
                <w:rFonts w:ascii="Arial" w:hAnsi="Arial" w:eastAsia="宋体"/>
                <w:b/>
                <w:color w:val="000000"/>
                <w:sz w:val="19"/>
              </w:rPr>
              <w:t>方法</w:t>
            </w:r>
          </w:p>
        </w:tc>
        <w:tc>
          <w:tcPr>
            <w:tcW w:type="dxa" w:w="2551"/>
            <w:vAlign w:val="center"/>
            <w:shd w:fill="E8EEF4"/>
          </w:tcPr>
          <w:p>
            <w:pPr>
              <w:keepNext/>
              <w:spacing w:after="0" w:before="0" w:line="276" w:lineRule="auto"/>
              <w:jc w:val="center"/>
            </w:pPr>
            <w:r>
              <w:rPr>
                <w:rFonts w:ascii="Arial" w:hAnsi="Arial" w:eastAsia="宋体"/>
                <w:b/>
                <w:color w:val="000000"/>
                <w:sz w:val="19"/>
              </w:rPr>
              <w:t>对象与问题</w:t>
            </w:r>
          </w:p>
        </w:tc>
        <w:tc>
          <w:tcPr>
            <w:tcW w:type="dxa" w:w="2551"/>
            <w:vAlign w:val="center"/>
            <w:shd w:fill="E8EEF4"/>
          </w:tcPr>
          <w:p>
            <w:pPr>
              <w:keepNext/>
              <w:spacing w:after="0" w:before="0" w:line="276" w:lineRule="auto"/>
              <w:jc w:val="center"/>
            </w:pPr>
            <w:r>
              <w:rPr>
                <w:rFonts w:ascii="Arial" w:hAnsi="Arial" w:eastAsia="宋体"/>
                <w:b/>
                <w:color w:val="000000"/>
                <w:sz w:val="19"/>
              </w:rPr>
              <w:t>本轮产出</w:t>
            </w:r>
          </w:p>
        </w:tc>
        <w:tc>
          <w:tcPr>
            <w:tcW w:type="dxa" w:w="2551"/>
            <w:vAlign w:val="center"/>
            <w:shd w:fill="E8EEF4"/>
          </w:tcPr>
          <w:p>
            <w:pPr>
              <w:keepNext/>
              <w:spacing w:after="0" w:before="0" w:line="276" w:lineRule="auto"/>
              <w:jc w:val="center"/>
            </w:pPr>
            <w:r>
              <w:rPr>
                <w:rFonts w:ascii="Arial" w:hAnsi="Arial" w:eastAsia="宋体"/>
                <w:b/>
                <w:color w:val="000000"/>
                <w:sz w:val="19"/>
              </w:rPr>
              <w:t>证据状态</w:t>
            </w:r>
          </w:p>
        </w:tc>
      </w:tr>
      <w:tr>
        <w:trPr>
          <w:cantSplit/>
        </w:trPr>
        <w:tc>
          <w:tcPr>
            <w:tcW w:type="dxa" w:w="1701"/>
            <w:vAlign w:val="center"/>
          </w:tcPr>
          <w:p>
            <w:pPr>
              <w:keepNext w:val="0"/>
              <w:spacing w:after="0" w:before="0" w:line="276" w:lineRule="auto"/>
              <w:jc w:val="center"/>
            </w:pPr>
            <w:r>
              <w:rPr>
                <w:rFonts w:ascii="Arial" w:hAnsi="Arial" w:eastAsia="宋体"/>
                <w:b w:val="0"/>
                <w:color w:val="000000"/>
                <w:sz w:val="19"/>
              </w:rPr>
              <w:t>背景研读</w:t>
            </w:r>
          </w:p>
        </w:tc>
        <w:tc>
          <w:tcPr>
            <w:tcW w:type="dxa" w:w="2551"/>
            <w:vAlign w:val="center"/>
          </w:tcPr>
          <w:p>
            <w:pPr>
              <w:keepNext w:val="0"/>
              <w:spacing w:after="0" w:before="0" w:line="276" w:lineRule="auto"/>
              <w:jc w:val="center"/>
            </w:pPr>
            <w:r>
              <w:rPr>
                <w:rFonts w:ascii="Arial" w:hAnsi="Arial" w:eastAsia="宋体"/>
                <w:b w:val="0"/>
                <w:color w:val="000000"/>
                <w:sz w:val="19"/>
              </w:rPr>
              <w:t>课程任务书与展示要求</w:t>
            </w:r>
          </w:p>
        </w:tc>
        <w:tc>
          <w:tcPr>
            <w:tcW w:type="dxa" w:w="2551"/>
            <w:vAlign w:val="center"/>
          </w:tcPr>
          <w:p>
            <w:pPr>
              <w:keepNext w:val="0"/>
              <w:spacing w:after="0" w:before="0" w:line="276" w:lineRule="auto"/>
              <w:jc w:val="left"/>
            </w:pPr>
            <w:r>
              <w:rPr>
                <w:rFonts w:ascii="Arial" w:hAnsi="Arial" w:eastAsia="宋体"/>
                <w:b w:val="0"/>
                <w:color w:val="000000"/>
                <w:sz w:val="19"/>
              </w:rPr>
              <w:t>需求范围、用例、提交检查表</w:t>
            </w:r>
          </w:p>
        </w:tc>
        <w:tc>
          <w:tcPr>
            <w:tcW w:type="dxa" w:w="2551"/>
            <w:vAlign w:val="center"/>
          </w:tcPr>
          <w:p>
            <w:pPr>
              <w:keepNext w:val="0"/>
              <w:spacing w:after="0" w:before="0" w:line="276" w:lineRule="auto"/>
              <w:jc w:val="center"/>
            </w:pPr>
            <w:r>
              <w:rPr>
                <w:rFonts w:ascii="Arial" w:hAnsi="Arial" w:eastAsia="宋体"/>
                <w:b w:val="0"/>
                <w:color w:val="000000"/>
                <w:sz w:val="19"/>
              </w:rPr>
              <w:t>已执行</w:t>
            </w:r>
          </w:p>
        </w:tc>
      </w:tr>
      <w:tr>
        <w:trPr>
          <w:cantSplit/>
        </w:trPr>
        <w:tc>
          <w:tcPr>
            <w:tcW w:type="dxa" w:w="1701"/>
            <w:vAlign w:val="center"/>
          </w:tcPr>
          <w:p>
            <w:pPr>
              <w:keepNext w:val="0"/>
              <w:spacing w:after="0" w:before="0" w:line="276" w:lineRule="auto"/>
              <w:jc w:val="center"/>
            </w:pPr>
            <w:r>
              <w:rPr>
                <w:rFonts w:ascii="Arial" w:hAnsi="Arial" w:eastAsia="宋体"/>
                <w:b w:val="0"/>
                <w:color w:val="000000"/>
                <w:sz w:val="19"/>
              </w:rPr>
              <w:t>官方资料调研</w:t>
            </w:r>
          </w:p>
        </w:tc>
        <w:tc>
          <w:tcPr>
            <w:tcW w:type="dxa" w:w="2551"/>
            <w:vAlign w:val="center"/>
          </w:tcPr>
          <w:p>
            <w:pPr>
              <w:keepNext w:val="0"/>
              <w:spacing w:after="0" w:before="0" w:line="276" w:lineRule="auto"/>
              <w:jc w:val="left"/>
            </w:pPr>
            <w:r>
              <w:rPr>
                <w:rFonts w:ascii="Arial" w:hAnsi="Arial" w:eastAsia="宋体"/>
                <w:b w:val="0"/>
                <w:color w:val="000000"/>
                <w:sz w:val="19"/>
              </w:rPr>
              <w:t>OpenAlex、DBLP、CNIPA、NSFC、科技部、ORCID</w:t>
            </w:r>
          </w:p>
        </w:tc>
        <w:tc>
          <w:tcPr>
            <w:tcW w:type="dxa" w:w="2551"/>
            <w:vAlign w:val="center"/>
          </w:tcPr>
          <w:p>
            <w:pPr>
              <w:keepNext w:val="0"/>
              <w:spacing w:after="0" w:before="0" w:line="276" w:lineRule="auto"/>
              <w:jc w:val="left"/>
            </w:pPr>
            <w:r>
              <w:rPr>
                <w:rFonts w:ascii="Arial" w:hAnsi="Arial" w:eastAsia="宋体"/>
                <w:b w:val="0"/>
                <w:color w:val="000000"/>
                <w:sz w:val="19"/>
              </w:rPr>
              <w:t>来源清单、字段及约束分析</w:t>
            </w:r>
          </w:p>
        </w:tc>
        <w:tc>
          <w:tcPr>
            <w:tcW w:type="dxa" w:w="2551"/>
            <w:vAlign w:val="center"/>
          </w:tcPr>
          <w:p>
            <w:pPr>
              <w:keepNext w:val="0"/>
              <w:spacing w:after="0" w:before="0" w:line="276" w:lineRule="auto"/>
              <w:jc w:val="center"/>
            </w:pPr>
            <w:r>
              <w:rPr>
                <w:rFonts w:ascii="Arial" w:hAnsi="Arial" w:eastAsia="宋体"/>
                <w:b w:val="0"/>
                <w:color w:val="000000"/>
                <w:sz w:val="19"/>
              </w:rPr>
              <w:t>已执行</w:t>
            </w:r>
          </w:p>
        </w:tc>
      </w:tr>
      <w:tr>
        <w:trPr>
          <w:cantSplit/>
        </w:trPr>
        <w:tc>
          <w:tcPr>
            <w:tcW w:type="dxa" w:w="1701"/>
            <w:vAlign w:val="center"/>
          </w:tcPr>
          <w:p>
            <w:pPr>
              <w:keepNext w:val="0"/>
              <w:spacing w:after="0" w:before="0" w:line="276" w:lineRule="auto"/>
              <w:jc w:val="center"/>
            </w:pPr>
            <w:r>
              <w:rPr>
                <w:rFonts w:ascii="Arial" w:hAnsi="Arial" w:eastAsia="宋体"/>
                <w:b w:val="0"/>
                <w:color w:val="000000"/>
                <w:sz w:val="19"/>
              </w:rPr>
              <w:t>二手用户研究</w:t>
            </w:r>
          </w:p>
        </w:tc>
        <w:tc>
          <w:tcPr>
            <w:tcW w:type="dxa" w:w="2551"/>
            <w:vAlign w:val="center"/>
          </w:tcPr>
          <w:p>
            <w:pPr>
              <w:keepNext w:val="0"/>
              <w:spacing w:after="0" w:before="0" w:line="276" w:lineRule="auto"/>
              <w:jc w:val="left"/>
            </w:pPr>
            <w:r>
              <w:rPr>
                <w:rFonts w:ascii="Arial" w:hAnsi="Arial" w:eastAsia="宋体"/>
                <w:b w:val="0"/>
                <w:color w:val="000000"/>
                <w:sz w:val="19"/>
              </w:rPr>
              <w:t>公开问卷与公开访谈研究报告</w:t>
            </w:r>
          </w:p>
        </w:tc>
        <w:tc>
          <w:tcPr>
            <w:tcW w:type="dxa" w:w="2551"/>
            <w:vAlign w:val="center"/>
          </w:tcPr>
          <w:p>
            <w:pPr>
              <w:keepNext w:val="0"/>
              <w:spacing w:after="0" w:before="0" w:line="276" w:lineRule="auto"/>
              <w:jc w:val="center"/>
            </w:pPr>
            <w:r>
              <w:rPr>
                <w:rFonts w:ascii="Arial" w:hAnsi="Arial" w:eastAsia="宋体"/>
                <w:b w:val="0"/>
                <w:color w:val="000000"/>
                <w:sz w:val="19"/>
              </w:rPr>
              <w:t>证据卡与需求映射</w:t>
            </w:r>
          </w:p>
        </w:tc>
        <w:tc>
          <w:tcPr>
            <w:tcW w:type="dxa" w:w="2551"/>
            <w:vAlign w:val="center"/>
          </w:tcPr>
          <w:p>
            <w:pPr>
              <w:keepNext w:val="0"/>
              <w:spacing w:after="0" w:before="0" w:line="276" w:lineRule="auto"/>
              <w:jc w:val="center"/>
            </w:pPr>
            <w:r>
              <w:rPr>
                <w:rFonts w:ascii="Arial" w:hAnsi="Arial" w:eastAsia="宋体"/>
                <w:b w:val="0"/>
                <w:color w:val="000000"/>
                <w:sz w:val="19"/>
              </w:rPr>
              <w:t>已执行，不是本组访谈</w:t>
            </w:r>
          </w:p>
        </w:tc>
      </w:tr>
      <w:tr>
        <w:trPr>
          <w:cantSplit/>
        </w:trPr>
        <w:tc>
          <w:tcPr>
            <w:tcW w:type="dxa" w:w="1701"/>
            <w:vAlign w:val="center"/>
          </w:tcPr>
          <w:p>
            <w:pPr>
              <w:keepNext w:val="0"/>
              <w:spacing w:after="0" w:before="0" w:line="276" w:lineRule="auto"/>
              <w:jc w:val="center"/>
            </w:pPr>
            <w:r>
              <w:rPr>
                <w:rFonts w:ascii="Arial" w:hAnsi="Arial" w:eastAsia="宋体"/>
                <w:b w:val="0"/>
                <w:color w:val="000000"/>
                <w:sz w:val="19"/>
              </w:rPr>
              <w:t>接口小样本探测</w:t>
            </w:r>
          </w:p>
        </w:tc>
        <w:tc>
          <w:tcPr>
            <w:tcW w:type="dxa" w:w="2551"/>
            <w:vAlign w:val="center"/>
          </w:tcPr>
          <w:p>
            <w:pPr>
              <w:keepNext w:val="0"/>
              <w:spacing w:after="0" w:before="0" w:line="276" w:lineRule="auto"/>
              <w:jc w:val="left"/>
            </w:pPr>
            <w:r>
              <w:rPr>
                <w:rFonts w:ascii="Arial" w:hAnsi="Arial" w:eastAsia="宋体"/>
                <w:b w:val="0"/>
                <w:color w:val="000000"/>
                <w:sz w:val="19"/>
              </w:rPr>
              <w:t>OpenAlex与DBLP论文接口</w:t>
            </w:r>
          </w:p>
        </w:tc>
        <w:tc>
          <w:tcPr>
            <w:tcW w:type="dxa" w:w="2551"/>
            <w:vAlign w:val="center"/>
          </w:tcPr>
          <w:p>
            <w:pPr>
              <w:keepNext w:val="0"/>
              <w:spacing w:after="0" w:before="0" w:line="276" w:lineRule="auto"/>
              <w:jc w:val="left"/>
            </w:pPr>
            <w:r>
              <w:rPr>
                <w:rFonts w:ascii="Arial" w:hAnsi="Arial" w:eastAsia="宋体"/>
                <w:b w:val="0"/>
                <w:color w:val="000000"/>
                <w:sz w:val="19"/>
              </w:rPr>
              <w:t>请求时间、状态、结果字段</w:t>
            </w:r>
          </w:p>
        </w:tc>
        <w:tc>
          <w:tcPr>
            <w:tcW w:type="dxa" w:w="2551"/>
            <w:vAlign w:val="center"/>
          </w:tcPr>
          <w:p>
            <w:pPr>
              <w:keepNext w:val="0"/>
              <w:spacing w:after="0" w:before="0" w:line="276" w:lineRule="auto"/>
              <w:jc w:val="center"/>
            </w:pPr>
            <w:r>
              <w:rPr>
                <w:rFonts w:ascii="Arial" w:hAnsi="Arial" w:eastAsia="宋体"/>
                <w:b w:val="0"/>
                <w:color w:val="000000"/>
                <w:sz w:val="19"/>
              </w:rPr>
              <w:t>已执行，见JSON记录</w:t>
            </w:r>
          </w:p>
        </w:tc>
      </w:tr>
      <w:tr>
        <w:trPr>
          <w:cantSplit/>
        </w:trPr>
        <w:tc>
          <w:tcPr>
            <w:tcW w:type="dxa" w:w="1701"/>
            <w:vAlign w:val="center"/>
          </w:tcPr>
          <w:p>
            <w:pPr>
              <w:keepNext w:val="0"/>
              <w:spacing w:after="0" w:before="0" w:line="276" w:lineRule="auto"/>
              <w:jc w:val="center"/>
            </w:pPr>
            <w:r>
              <w:rPr>
                <w:rFonts w:ascii="Arial" w:hAnsi="Arial" w:eastAsia="宋体"/>
                <w:b w:val="0"/>
                <w:color w:val="000000"/>
                <w:sz w:val="19"/>
              </w:rPr>
              <w:t>同类平台比较</w:t>
            </w:r>
          </w:p>
        </w:tc>
        <w:tc>
          <w:tcPr>
            <w:tcW w:type="dxa" w:w="2551"/>
            <w:vAlign w:val="center"/>
          </w:tcPr>
          <w:p>
            <w:pPr>
              <w:keepNext w:val="0"/>
              <w:spacing w:after="0" w:before="0" w:line="276" w:lineRule="auto"/>
              <w:jc w:val="left"/>
            </w:pPr>
            <w:r>
              <w:rPr>
                <w:rFonts w:ascii="Arial" w:hAnsi="Arial" w:eastAsia="宋体"/>
                <w:b w:val="0"/>
                <w:color w:val="000000"/>
                <w:sz w:val="19"/>
              </w:rPr>
              <w:t>OpenAlex、DBLP、ORCID</w:t>
            </w:r>
          </w:p>
        </w:tc>
        <w:tc>
          <w:tcPr>
            <w:tcW w:type="dxa" w:w="2551"/>
            <w:vAlign w:val="center"/>
          </w:tcPr>
          <w:p>
            <w:pPr>
              <w:keepNext w:val="0"/>
              <w:spacing w:after="0" w:before="0" w:line="276" w:lineRule="auto"/>
              <w:jc w:val="center"/>
            </w:pPr>
            <w:r>
              <w:rPr>
                <w:rFonts w:ascii="Arial" w:hAnsi="Arial" w:eastAsia="宋体"/>
                <w:b w:val="0"/>
                <w:color w:val="000000"/>
                <w:sz w:val="19"/>
              </w:rPr>
              <w:t>功能定位和设计启示</w:t>
            </w:r>
          </w:p>
        </w:tc>
        <w:tc>
          <w:tcPr>
            <w:tcW w:type="dxa" w:w="2551"/>
            <w:vAlign w:val="center"/>
          </w:tcPr>
          <w:p>
            <w:pPr>
              <w:keepNext w:val="0"/>
              <w:spacing w:after="0" w:before="0" w:line="276" w:lineRule="auto"/>
              <w:jc w:val="left"/>
            </w:pPr>
            <w:r>
              <w:rPr>
                <w:rFonts w:ascii="Arial" w:hAnsi="Arial" w:eastAsia="宋体"/>
                <w:b w:val="0"/>
                <w:color w:val="000000"/>
                <w:sz w:val="19"/>
              </w:rPr>
              <w:t>文档研究，未声称完整实测</w:t>
            </w:r>
          </w:p>
        </w:tc>
      </w:tr>
      <w:tr>
        <w:trPr>
          <w:cantSplit/>
        </w:trPr>
        <w:tc>
          <w:tcPr>
            <w:tcW w:type="dxa" w:w="1701"/>
            <w:vAlign w:val="center"/>
          </w:tcPr>
          <w:p>
            <w:pPr>
              <w:keepNext w:val="0"/>
              <w:spacing w:after="0" w:before="0" w:line="276" w:lineRule="auto"/>
              <w:jc w:val="center"/>
            </w:pPr>
            <w:r>
              <w:rPr>
                <w:rFonts w:ascii="Arial" w:hAnsi="Arial" w:eastAsia="宋体"/>
                <w:b w:val="0"/>
                <w:color w:val="000000"/>
                <w:sz w:val="19"/>
              </w:rPr>
              <w:t>本地用户访谈</w:t>
            </w:r>
          </w:p>
        </w:tc>
        <w:tc>
          <w:tcPr>
            <w:tcW w:type="dxa" w:w="2551"/>
            <w:vAlign w:val="center"/>
          </w:tcPr>
          <w:p>
            <w:pPr>
              <w:keepNext w:val="0"/>
              <w:spacing w:after="0" w:before="0" w:line="276" w:lineRule="auto"/>
              <w:jc w:val="left"/>
            </w:pPr>
            <w:r>
              <w:rPr>
                <w:rFonts w:ascii="Arial" w:hAnsi="Arial" w:eastAsia="宋体"/>
                <w:b w:val="0"/>
                <w:color w:val="000000"/>
                <w:sz w:val="19"/>
              </w:rPr>
              <w:t>普通用户、科研人员、管理员</w:t>
            </w:r>
          </w:p>
        </w:tc>
        <w:tc>
          <w:tcPr>
            <w:tcW w:type="dxa" w:w="2551"/>
            <w:vAlign w:val="center"/>
          </w:tcPr>
          <w:p>
            <w:pPr>
              <w:keepNext w:val="0"/>
              <w:spacing w:after="0" w:before="0" w:line="276" w:lineRule="auto"/>
              <w:jc w:val="left"/>
            </w:pPr>
            <w:r>
              <w:rPr>
                <w:rFonts w:ascii="Arial" w:hAnsi="Arial" w:eastAsia="宋体"/>
                <w:b w:val="0"/>
                <w:color w:val="000000"/>
                <w:sz w:val="19"/>
              </w:rPr>
              <w:t>提纲、问卷、记录及编码表</w:t>
            </w:r>
          </w:p>
        </w:tc>
        <w:tc>
          <w:tcPr>
            <w:tcW w:type="dxa" w:w="2551"/>
            <w:vAlign w:val="center"/>
          </w:tcPr>
          <w:p>
            <w:pPr>
              <w:keepNext w:val="0"/>
              <w:spacing w:after="0" w:before="0" w:line="276" w:lineRule="auto"/>
              <w:jc w:val="center"/>
            </w:pPr>
            <w:r>
              <w:rPr>
                <w:rFonts w:ascii="Arial" w:hAnsi="Arial" w:eastAsia="宋体"/>
                <w:b w:val="0"/>
                <w:color w:val="000000"/>
                <w:sz w:val="19"/>
              </w:rPr>
              <w:t>待执行，记录待填写</w:t>
            </w:r>
          </w:p>
        </w:tc>
      </w:tr>
    </w:tbl>
    <w:p>
      <w:pPr>
        <w:spacing w:after="40" w:line="96" w:lineRule="auto"/>
      </w:pPr>
    </w:p>
    <w:p>
      <w:r>
        <w:rPr>
          <w:rFonts w:ascii="Arial" w:hAnsi="Arial" w:eastAsia="宋体"/>
          <w:b w:val="0"/>
          <w:color w:val="000000"/>
          <w:sz w:val="22"/>
        </w:rPr>
        <w:t>建议的后续访谈采用目的抽样，每类角色先邀请2人，每次20—30分钟；这只是计划数量，不是已访谈人数。优先请受访者讲述最近一次真实任务，并观察其查找或维护成果的过程。若无法接触实际平台管理员，可访问承担科研信息维护的人员，并注明角色差异。</w:t>
      </w:r>
    </w:p>
    <w:p>
      <w:r>
        <w:rPr>
          <w:rFonts w:ascii="Arial" w:hAnsi="Arial" w:eastAsia="宋体"/>
          <w:b w:val="0"/>
          <w:color w:val="000000"/>
          <w:sz w:val="22"/>
        </w:rPr>
        <w:t>时间安排为10月12日完成材料整理与方案初稿，10月13日由成员核对来源、完成双组比较并预提交，10月14日参加研讨，10月15—19日落实反馈，10月20日完成终稿。具体截止时刻以教师通知为准。</w:t>
      </w:r>
    </w:p>
    <w:p>
      <w:pPr>
        <w:pStyle w:val="Heading1"/>
      </w:pPr>
      <w:r>
        <w:rPr>
          <w:rFonts w:ascii="Arial" w:hAnsi="Arial" w:eastAsia="微软雅黑"/>
          <w:b/>
          <w:color w:val="000000"/>
          <w:sz w:val="28"/>
        </w:rPr>
        <w:t>3 三类用户诉求</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1701"/>
        <w:gridCol w:w="2551"/>
        <w:gridCol w:w="2551"/>
        <w:gridCol w:w="2551"/>
      </w:tblGrid>
      <w:tr>
        <w:trPr>
          <w:cantSplit/>
          <w:tblHeader/>
        </w:trPr>
        <w:tc>
          <w:tcPr>
            <w:tcW w:type="dxa" w:w="1701"/>
            <w:vAlign w:val="center"/>
            <w:shd w:fill="E8EEF4"/>
          </w:tcPr>
          <w:p>
            <w:pPr>
              <w:keepNext/>
              <w:spacing w:after="0" w:before="0" w:line="276" w:lineRule="auto"/>
              <w:jc w:val="center"/>
            </w:pPr>
            <w:r>
              <w:rPr>
                <w:rFonts w:ascii="Arial" w:hAnsi="Arial" w:eastAsia="宋体"/>
                <w:b/>
                <w:color w:val="000000"/>
                <w:sz w:val="19"/>
              </w:rPr>
              <w:t>用户</w:t>
            </w:r>
          </w:p>
        </w:tc>
        <w:tc>
          <w:tcPr>
            <w:tcW w:type="dxa" w:w="2551"/>
            <w:vAlign w:val="center"/>
            <w:shd w:fill="E8EEF4"/>
          </w:tcPr>
          <w:p>
            <w:pPr>
              <w:keepNext/>
              <w:spacing w:after="0" w:before="0" w:line="276" w:lineRule="auto"/>
              <w:jc w:val="center"/>
            </w:pPr>
            <w:r>
              <w:rPr>
                <w:rFonts w:ascii="Arial" w:hAnsi="Arial" w:eastAsia="宋体"/>
                <w:b/>
                <w:color w:val="000000"/>
                <w:sz w:val="19"/>
              </w:rPr>
              <w:t>典型任务</w:t>
            </w:r>
          </w:p>
        </w:tc>
        <w:tc>
          <w:tcPr>
            <w:tcW w:type="dxa" w:w="2551"/>
            <w:vAlign w:val="center"/>
            <w:shd w:fill="E8EEF4"/>
          </w:tcPr>
          <w:p>
            <w:pPr>
              <w:keepNext/>
              <w:spacing w:after="0" w:before="0" w:line="276" w:lineRule="auto"/>
              <w:jc w:val="center"/>
            </w:pPr>
            <w:r>
              <w:rPr>
                <w:rFonts w:ascii="Arial" w:hAnsi="Arial" w:eastAsia="宋体"/>
                <w:b/>
                <w:color w:val="000000"/>
                <w:sz w:val="19"/>
              </w:rPr>
              <w:t>核心诉求</w:t>
            </w:r>
          </w:p>
        </w:tc>
        <w:tc>
          <w:tcPr>
            <w:tcW w:type="dxa" w:w="2551"/>
            <w:vAlign w:val="center"/>
            <w:shd w:fill="E8EEF4"/>
          </w:tcPr>
          <w:p>
            <w:pPr>
              <w:keepNext/>
              <w:spacing w:after="0" w:before="0" w:line="276" w:lineRule="auto"/>
              <w:jc w:val="center"/>
            </w:pPr>
            <w:r>
              <w:rPr>
                <w:rFonts w:ascii="Arial" w:hAnsi="Arial" w:eastAsia="宋体"/>
                <w:b/>
                <w:color w:val="000000"/>
                <w:sz w:val="19"/>
              </w:rPr>
              <w:t>依据与待验证点</w:t>
            </w:r>
          </w:p>
        </w:tc>
      </w:tr>
      <w:tr>
        <w:trPr>
          <w:cantSplit/>
        </w:trPr>
        <w:tc>
          <w:tcPr>
            <w:tcW w:type="dxa" w:w="1701"/>
            <w:vAlign w:val="center"/>
          </w:tcPr>
          <w:p>
            <w:pPr>
              <w:keepNext w:val="0"/>
              <w:spacing w:after="0" w:before="0" w:line="276" w:lineRule="auto"/>
              <w:jc w:val="center"/>
            </w:pPr>
            <w:r>
              <w:rPr>
                <w:rFonts w:ascii="Arial" w:hAnsi="Arial" w:eastAsia="宋体"/>
                <w:b w:val="0"/>
                <w:color w:val="000000"/>
                <w:sz w:val="19"/>
              </w:rPr>
              <w:t>普通用户</w:t>
            </w:r>
          </w:p>
        </w:tc>
        <w:tc>
          <w:tcPr>
            <w:tcW w:type="dxa" w:w="2551"/>
            <w:vAlign w:val="center"/>
          </w:tcPr>
          <w:p>
            <w:pPr>
              <w:keepNext w:val="0"/>
              <w:spacing w:after="0" w:before="0" w:line="276" w:lineRule="auto"/>
              <w:jc w:val="center"/>
            </w:pPr>
            <w:r>
              <w:rPr>
                <w:rFonts w:ascii="Arial" w:hAnsi="Arial" w:eastAsia="宋体"/>
                <w:b w:val="0"/>
                <w:color w:val="000000"/>
                <w:sz w:val="19"/>
              </w:rPr>
              <w:t>按主题找成果、找专家</w:t>
            </w:r>
          </w:p>
        </w:tc>
        <w:tc>
          <w:tcPr>
            <w:tcW w:type="dxa" w:w="2551"/>
            <w:vAlign w:val="center"/>
          </w:tcPr>
          <w:p>
            <w:pPr>
              <w:keepNext w:val="0"/>
              <w:spacing w:after="0" w:before="0" w:line="276" w:lineRule="auto"/>
              <w:jc w:val="left"/>
            </w:pPr>
            <w:r>
              <w:rPr>
                <w:rFonts w:ascii="Arial" w:hAnsi="Arial" w:eastAsia="宋体"/>
                <w:b w:val="0"/>
                <w:color w:val="000000"/>
                <w:sz w:val="19"/>
              </w:rPr>
              <w:t>检索准确，筛选透明，结果可追溯</w:t>
            </w:r>
          </w:p>
        </w:tc>
        <w:tc>
          <w:tcPr>
            <w:tcW w:type="dxa" w:w="2551"/>
            <w:vAlign w:val="center"/>
          </w:tcPr>
          <w:p>
            <w:pPr>
              <w:keepNext w:val="0"/>
              <w:spacing w:after="0" w:before="0" w:line="276" w:lineRule="auto"/>
              <w:jc w:val="left"/>
            </w:pPr>
            <w:r>
              <w:rPr>
                <w:rFonts w:ascii="Arial" w:hAnsi="Arial" w:eastAsia="宋体"/>
                <w:b w:val="0"/>
                <w:color w:val="000000"/>
                <w:sz w:val="19"/>
              </w:rPr>
              <w:t>C1与公开用户研究支持；本校使用频率待访谈</w:t>
            </w:r>
          </w:p>
        </w:tc>
      </w:tr>
      <w:tr>
        <w:trPr>
          <w:cantSplit/>
        </w:trPr>
        <w:tc>
          <w:tcPr>
            <w:tcW w:type="dxa" w:w="1701"/>
            <w:vAlign w:val="center"/>
          </w:tcPr>
          <w:p>
            <w:pPr>
              <w:keepNext w:val="0"/>
              <w:spacing w:after="0" w:before="0" w:line="276" w:lineRule="auto"/>
              <w:jc w:val="center"/>
            </w:pPr>
            <w:r>
              <w:rPr>
                <w:rFonts w:ascii="Arial" w:hAnsi="Arial" w:eastAsia="宋体"/>
                <w:b w:val="0"/>
                <w:color w:val="000000"/>
                <w:sz w:val="19"/>
              </w:rPr>
              <w:t>科研人员</w:t>
            </w:r>
          </w:p>
        </w:tc>
        <w:tc>
          <w:tcPr>
            <w:tcW w:type="dxa" w:w="2551"/>
            <w:vAlign w:val="center"/>
          </w:tcPr>
          <w:p>
            <w:pPr>
              <w:keepNext w:val="0"/>
              <w:spacing w:after="0" w:before="0" w:line="276" w:lineRule="auto"/>
              <w:jc w:val="left"/>
            </w:pPr>
            <w:r>
              <w:rPr>
                <w:rFonts w:ascii="Arial" w:hAnsi="Arial" w:eastAsia="宋体"/>
                <w:b w:val="0"/>
                <w:color w:val="000000"/>
                <w:sz w:val="19"/>
              </w:rPr>
              <w:t>查看本人全部成果，修正误归属，认领门户</w:t>
            </w:r>
          </w:p>
        </w:tc>
        <w:tc>
          <w:tcPr>
            <w:tcW w:type="dxa" w:w="2551"/>
            <w:vAlign w:val="center"/>
          </w:tcPr>
          <w:p>
            <w:pPr>
              <w:keepNext w:val="0"/>
              <w:spacing w:after="0" w:before="0" w:line="276" w:lineRule="auto"/>
              <w:jc w:val="left"/>
            </w:pPr>
            <w:r>
              <w:rPr>
                <w:rFonts w:ascii="Arial" w:hAnsi="Arial" w:eastAsia="宋体"/>
                <w:b w:val="0"/>
                <w:color w:val="000000"/>
                <w:sz w:val="19"/>
              </w:rPr>
              <w:t>关联正确、更新及时、本人能控制展示</w:t>
            </w:r>
          </w:p>
        </w:tc>
        <w:tc>
          <w:tcPr>
            <w:tcW w:type="dxa" w:w="2551"/>
            <w:vAlign w:val="center"/>
          </w:tcPr>
          <w:p>
            <w:pPr>
              <w:keepNext w:val="0"/>
              <w:spacing w:after="0" w:before="0" w:line="276" w:lineRule="auto"/>
              <w:jc w:val="left"/>
            </w:pPr>
            <w:r>
              <w:rPr>
                <w:rFonts w:ascii="Arial" w:hAnsi="Arial" w:eastAsia="宋体"/>
                <w:b w:val="0"/>
                <w:color w:val="000000"/>
                <w:sz w:val="19"/>
              </w:rPr>
              <w:t>C1、身份来源分析；可接受的认证步骤待访谈</w:t>
            </w:r>
          </w:p>
        </w:tc>
      </w:tr>
      <w:tr>
        <w:trPr>
          <w:cantSplit/>
        </w:trPr>
        <w:tc>
          <w:tcPr>
            <w:tcW w:type="dxa" w:w="1701"/>
            <w:vAlign w:val="center"/>
          </w:tcPr>
          <w:p>
            <w:pPr>
              <w:keepNext w:val="0"/>
              <w:spacing w:after="0" w:before="0" w:line="276" w:lineRule="auto"/>
              <w:jc w:val="center"/>
            </w:pPr>
            <w:r>
              <w:rPr>
                <w:rFonts w:ascii="Arial" w:hAnsi="Arial" w:eastAsia="宋体"/>
                <w:b w:val="0"/>
                <w:color w:val="000000"/>
                <w:sz w:val="19"/>
              </w:rPr>
              <w:t>平台管理员</w:t>
            </w:r>
          </w:p>
        </w:tc>
        <w:tc>
          <w:tcPr>
            <w:tcW w:type="dxa" w:w="2551"/>
            <w:vAlign w:val="center"/>
          </w:tcPr>
          <w:p>
            <w:pPr>
              <w:keepNext w:val="0"/>
              <w:spacing w:after="0" w:before="0" w:line="276" w:lineRule="auto"/>
              <w:jc w:val="left"/>
            </w:pPr>
            <w:r>
              <w:rPr>
                <w:rFonts w:ascii="Arial" w:hAnsi="Arial" w:eastAsia="宋体"/>
                <w:b w:val="0"/>
                <w:color w:val="000000"/>
                <w:sz w:val="19"/>
              </w:rPr>
              <w:t>配置采集、处理失败、审核认领、治理冲突</w:t>
            </w:r>
          </w:p>
        </w:tc>
        <w:tc>
          <w:tcPr>
            <w:tcW w:type="dxa" w:w="2551"/>
            <w:vAlign w:val="center"/>
          </w:tcPr>
          <w:p>
            <w:pPr>
              <w:keepNext w:val="0"/>
              <w:spacing w:after="0" w:before="0" w:line="276" w:lineRule="auto"/>
              <w:jc w:val="left"/>
            </w:pPr>
            <w:r>
              <w:rPr>
                <w:rFonts w:ascii="Arial" w:hAnsi="Arial" w:eastAsia="宋体"/>
                <w:b w:val="0"/>
                <w:color w:val="000000"/>
                <w:sz w:val="19"/>
              </w:rPr>
              <w:t>能定位原因、复核证据、恢复任务、审计操作</w:t>
            </w:r>
          </w:p>
        </w:tc>
        <w:tc>
          <w:tcPr>
            <w:tcW w:type="dxa" w:w="2551"/>
            <w:vAlign w:val="center"/>
          </w:tcPr>
          <w:p>
            <w:pPr>
              <w:keepNext w:val="0"/>
              <w:spacing w:after="0" w:before="0" w:line="276" w:lineRule="auto"/>
              <w:jc w:val="left"/>
            </w:pPr>
            <w:r>
              <w:rPr>
                <w:rFonts w:ascii="Arial" w:hAnsi="Arial" w:eastAsia="宋体"/>
                <w:b w:val="0"/>
                <w:color w:val="000000"/>
                <w:sz w:val="19"/>
              </w:rPr>
              <w:t>C1与工程分析；日常任务量和审核时限待访谈</w:t>
            </w:r>
          </w:p>
        </w:tc>
      </w:tr>
    </w:tbl>
    <w:p>
      <w:pPr>
        <w:spacing w:after="40" w:line="96" w:lineRule="auto"/>
      </w:pPr>
    </w:p>
    <w:p>
      <w:r>
        <w:rPr>
          <w:rFonts w:ascii="Arial" w:hAnsi="Arial" w:eastAsia="宋体"/>
          <w:b w:val="0"/>
          <w:color w:val="000000"/>
          <w:sz w:val="22"/>
        </w:rPr>
        <w:t>U01 查找可信成果：用户需要联合使用关键词、年份、类型、领域及机构条件，查看来源和更新日期。对应FR06、FR07。</w:t>
      </w:r>
    </w:p>
    <w:p>
      <w:r>
        <w:rPr>
          <w:rFonts w:ascii="Arial" w:hAnsi="Arial" w:eastAsia="宋体"/>
          <w:b w:val="0"/>
          <w:color w:val="000000"/>
          <w:sz w:val="22"/>
        </w:rPr>
        <w:t>U02 理解学者成果：用户需要区分同名作者，按稳定标识进入门户，并按成果类型查看。对应FR04、FR08。</w:t>
      </w:r>
    </w:p>
    <w:p>
      <w:r>
        <w:rPr>
          <w:rFonts w:ascii="Arial" w:hAnsi="Arial" w:eastAsia="宋体"/>
          <w:b w:val="0"/>
          <w:color w:val="000000"/>
          <w:sz w:val="22"/>
        </w:rPr>
        <w:t>U03 控制本人门户：科研人员需要知道申请进度、驳回原因及补充材料要求；修改本人展示信息不应破坏共享成果库。对应FR09—FR11。</w:t>
      </w:r>
    </w:p>
    <w:p>
      <w:r>
        <w:rPr>
          <w:rFonts w:ascii="Arial" w:hAnsi="Arial" w:eastAsia="宋体"/>
          <w:b w:val="0"/>
          <w:color w:val="000000"/>
          <w:sz w:val="22"/>
        </w:rPr>
        <w:t>U04 管理数据质量：管理员需要知道哪些记录未入库、为什么失败、哪些冲突要人工处理；误合并应能够纠正。对应FR02—FR05、FR14—FR16。</w:t>
      </w:r>
    </w:p>
    <w:p>
      <w:r>
        <w:rPr>
          <w:rFonts w:ascii="Arial" w:hAnsi="Arial" w:eastAsia="宋体"/>
          <w:b w:val="0"/>
          <w:color w:val="000000"/>
          <w:sz w:val="22"/>
        </w:rPr>
        <w:t>U05 理解统计结果：用户需要看到统计的样本范围、机构归属口径和时间；合作关系要能追溯到合著成果。对应FR12、FR13。</w:t>
      </w:r>
    </w:p>
    <w:p>
      <w:pPr>
        <w:pStyle w:val="Heading1"/>
      </w:pPr>
      <w:r>
        <w:rPr>
          <w:rFonts w:ascii="Arial" w:hAnsi="Arial" w:eastAsia="微软雅黑"/>
          <w:b/>
          <w:color w:val="000000"/>
          <w:sz w:val="28"/>
        </w:rPr>
        <w:t>4 资料调研形成的方案</w:t>
      </w:r>
    </w:p>
    <w:p>
      <w:r>
        <w:rPr>
          <w:rFonts w:ascii="Arial" w:hAnsi="Arial" w:eastAsia="宋体"/>
          <w:b w:val="0"/>
          <w:color w:val="000000"/>
          <w:sz w:val="22"/>
        </w:rPr>
        <w:t>论文元数据优先接入OpenAlex，DBLP作为计算机领域补充。不同来源的作者标识不能直接当成平台账号，元数据开放也不代表关联全文允许下载或再发布。[D1][D2] 本轮接口结果见附件的实际请求记录；少量请求成功只能说明当次可达，不能推导批量稳定性。</w:t>
      </w:r>
    </w:p>
    <w:p>
      <w:r>
        <w:rPr>
          <w:rFonts w:ascii="Arial" w:hAnsi="Arial" w:eastAsia="宋体"/>
          <w:b w:val="0"/>
          <w:color w:val="000000"/>
          <w:sz w:val="22"/>
        </w:rPr>
        <w:t>专利以国家知识产权局公开检索服务为候选入口；项目以自然科学基金公开服务为候选入口；获奖以科技部公开目录为候选入口。本轮已确认来源存在并分析字段，但未验证批量抓取能力。接入应先确认条款和获取方式；受限时采用获得许可的小批量导入或清晰标记的模拟数据完成流程演示。[D4][D5][D6]</w:t>
      </w:r>
    </w:p>
    <w:p>
      <w:r>
        <w:rPr>
          <w:rFonts w:ascii="Arial" w:hAnsi="Arial" w:eastAsia="宋体"/>
          <w:b w:val="0"/>
          <w:color w:val="000000"/>
          <w:sz w:val="22"/>
        </w:rPr>
        <w:t>领域分类使用本项目的简化演示树，初始节点为计算机科学下的软件工程、人工智能、网络与信息安全、数据管理四类，允许扩展其他学科。该树是项目分类方案，不宣称等同于国家学科目录或OpenAlex分类。外部标签通过版本化映射连接到本地领域，多领域成果在父级统计时去重。</w:t>
      </w:r>
    </w:p>
    <w:p>
      <w:r>
        <w:rPr>
          <w:rFonts w:ascii="Arial" w:hAnsi="Arial" w:eastAsia="宋体"/>
          <w:b w:val="0"/>
          <w:color w:val="000000"/>
          <w:sz w:val="22"/>
        </w:rPr>
        <w:t>个人门户初次由公开成果聚合生成，明确标为“未认领”。申请人提供可验证的账号控制证据及公开学术关联材料，管理员作最终审核；公开ORCID字符串只能辅助匹配，不能直接证明申请人控制该身份。[D7]</w:t>
      </w:r>
    </w:p>
    <w:p>
      <w:pPr>
        <w:pStyle w:val="Heading1"/>
      </w:pPr>
      <w:r>
        <w:rPr>
          <w:rFonts w:ascii="Arial" w:hAnsi="Arial" w:eastAsia="微软雅黑"/>
          <w:b/>
          <w:color w:val="000000"/>
          <w:sz w:val="28"/>
        </w:rPr>
        <w:t>5 优先级与迭代范围</w:t>
      </w:r>
    </w:p>
    <w:p>
      <w:r>
        <w:rPr>
          <w:rFonts w:ascii="Arial" w:hAnsi="Arial" w:eastAsia="宋体"/>
          <w:b w:val="0"/>
          <w:color w:val="000000"/>
          <w:sz w:val="22"/>
        </w:rPr>
        <w:t>P0表示课程背景要求与核心数据可信性所需能力，必须完成；P1表示排在基础链路之后实现的必交创新项。P1不等于可不做。优先级依据任务书覆盖、对其他功能的依赖及风险设定，不是假设的用户投票结果。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1701"/>
        <w:gridCol w:w="3572"/>
        <w:gridCol w:w="4082"/>
      </w:tblGrid>
      <w:tr>
        <w:trPr>
          <w:cantSplit/>
          <w:tblHeader/>
        </w:trPr>
        <w:tc>
          <w:tcPr>
            <w:tcW w:type="dxa" w:w="1701"/>
            <w:vAlign w:val="center"/>
            <w:shd w:fill="E8EEF4"/>
          </w:tcPr>
          <w:p>
            <w:pPr>
              <w:keepNext/>
              <w:spacing w:after="0" w:before="0" w:line="276" w:lineRule="auto"/>
              <w:jc w:val="center"/>
            </w:pPr>
            <w:r>
              <w:rPr>
                <w:rFonts w:ascii="Arial" w:hAnsi="Arial" w:eastAsia="宋体"/>
                <w:b/>
                <w:color w:val="000000"/>
                <w:sz w:val="19"/>
              </w:rPr>
              <w:t>批次</w:t>
            </w:r>
          </w:p>
        </w:tc>
        <w:tc>
          <w:tcPr>
            <w:tcW w:type="dxa" w:w="3572"/>
            <w:vAlign w:val="center"/>
            <w:shd w:fill="E8EEF4"/>
          </w:tcPr>
          <w:p>
            <w:pPr>
              <w:keepNext/>
              <w:spacing w:after="0" w:before="0" w:line="276" w:lineRule="auto"/>
              <w:jc w:val="center"/>
            </w:pPr>
            <w:r>
              <w:rPr>
                <w:rFonts w:ascii="Arial" w:hAnsi="Arial" w:eastAsia="宋体"/>
                <w:b/>
                <w:color w:val="000000"/>
                <w:sz w:val="19"/>
              </w:rPr>
              <w:t>纳入范围</w:t>
            </w:r>
          </w:p>
        </w:tc>
        <w:tc>
          <w:tcPr>
            <w:tcW w:type="dxa" w:w="4082"/>
            <w:vAlign w:val="center"/>
            <w:shd w:fill="E8EEF4"/>
          </w:tcPr>
          <w:p>
            <w:pPr>
              <w:keepNext/>
              <w:spacing w:after="0" w:before="0" w:line="276" w:lineRule="auto"/>
              <w:jc w:val="center"/>
            </w:pPr>
            <w:r>
              <w:rPr>
                <w:rFonts w:ascii="Arial" w:hAnsi="Arial" w:eastAsia="宋体"/>
                <w:b/>
                <w:color w:val="000000"/>
                <w:sz w:val="19"/>
              </w:rPr>
              <w:t>完成条件</w:t>
            </w:r>
          </w:p>
        </w:tc>
      </w:tr>
      <w:tr>
        <w:trPr>
          <w:cantSplit/>
        </w:trPr>
        <w:tc>
          <w:tcPr>
            <w:tcW w:type="dxa" w:w="1701"/>
            <w:vAlign w:val="center"/>
          </w:tcPr>
          <w:p>
            <w:pPr>
              <w:keepNext w:val="0"/>
              <w:spacing w:after="0" w:before="0" w:line="276" w:lineRule="auto"/>
              <w:jc w:val="left"/>
            </w:pPr>
            <w:r>
              <w:rPr>
                <w:rFonts w:ascii="Arial" w:hAnsi="Arial" w:eastAsia="宋体"/>
                <w:b w:val="0"/>
                <w:color w:val="000000"/>
                <w:sz w:val="19"/>
              </w:rPr>
              <w:t>第一批 P0</w:t>
            </w:r>
          </w:p>
        </w:tc>
        <w:tc>
          <w:tcPr>
            <w:tcW w:type="dxa" w:w="3572"/>
            <w:vAlign w:val="center"/>
          </w:tcPr>
          <w:p>
            <w:pPr>
              <w:keepNext w:val="0"/>
              <w:spacing w:after="0" w:before="0" w:line="276" w:lineRule="auto"/>
              <w:jc w:val="left"/>
            </w:pPr>
            <w:r>
              <w:rPr>
                <w:rFonts w:ascii="Arial" w:hAnsi="Arial" w:eastAsia="宋体"/>
                <w:b w:val="0"/>
                <w:color w:val="000000"/>
                <w:sz w:val="19"/>
              </w:rPr>
              <w:t>账号权限、采集、清洗、去重消歧、领域映射</w:t>
            </w:r>
          </w:p>
        </w:tc>
        <w:tc>
          <w:tcPr>
            <w:tcW w:type="dxa" w:w="4082"/>
            <w:vAlign w:val="center"/>
          </w:tcPr>
          <w:p>
            <w:pPr>
              <w:keepNext w:val="0"/>
              <w:spacing w:after="0" w:before="0" w:line="276" w:lineRule="auto"/>
              <w:jc w:val="left"/>
            </w:pPr>
            <w:r>
              <w:rPr>
                <w:rFonts w:ascii="Arial" w:hAnsi="Arial" w:eastAsia="宋体"/>
                <w:b w:val="0"/>
                <w:color w:val="000000"/>
                <w:sz w:val="19"/>
              </w:rPr>
              <w:t>数据可导入、可追溯、重复导入幂等</w:t>
            </w:r>
          </w:p>
        </w:tc>
      </w:tr>
      <w:tr>
        <w:trPr>
          <w:cantSplit/>
        </w:trPr>
        <w:tc>
          <w:tcPr>
            <w:tcW w:type="dxa" w:w="1701"/>
            <w:vAlign w:val="center"/>
          </w:tcPr>
          <w:p>
            <w:pPr>
              <w:keepNext w:val="0"/>
              <w:spacing w:after="0" w:before="0" w:line="276" w:lineRule="auto"/>
              <w:jc w:val="left"/>
            </w:pPr>
            <w:r>
              <w:rPr>
                <w:rFonts w:ascii="Arial" w:hAnsi="Arial" w:eastAsia="宋体"/>
                <w:b w:val="0"/>
                <w:color w:val="000000"/>
                <w:sz w:val="19"/>
              </w:rPr>
              <w:t>第二批 P0</w:t>
            </w:r>
          </w:p>
        </w:tc>
        <w:tc>
          <w:tcPr>
            <w:tcW w:type="dxa" w:w="3572"/>
            <w:vAlign w:val="center"/>
          </w:tcPr>
          <w:p>
            <w:pPr>
              <w:keepNext w:val="0"/>
              <w:spacing w:after="0" w:before="0" w:line="276" w:lineRule="auto"/>
              <w:jc w:val="left"/>
            </w:pPr>
            <w:r>
              <w:rPr>
                <w:rFonts w:ascii="Arial" w:hAnsi="Arial" w:eastAsia="宋体"/>
                <w:b w:val="0"/>
                <w:color w:val="000000"/>
                <w:sz w:val="19"/>
              </w:rPr>
              <w:t>检索、详情、学者门户、认领审核、成果维护</w:t>
            </w:r>
          </w:p>
        </w:tc>
        <w:tc>
          <w:tcPr>
            <w:tcW w:type="dxa" w:w="4082"/>
            <w:vAlign w:val="center"/>
          </w:tcPr>
          <w:p>
            <w:pPr>
              <w:keepNext w:val="0"/>
              <w:spacing w:after="0" w:before="0" w:line="276" w:lineRule="auto"/>
              <w:jc w:val="left"/>
            </w:pPr>
            <w:r>
              <w:rPr>
                <w:rFonts w:ascii="Arial" w:hAnsi="Arial" w:eastAsia="宋体"/>
                <w:b w:val="0"/>
                <w:color w:val="000000"/>
                <w:sz w:val="19"/>
              </w:rPr>
              <w:t>三类角色完成端到端任务且权限有效</w:t>
            </w:r>
          </w:p>
        </w:tc>
      </w:tr>
      <w:tr>
        <w:trPr>
          <w:cantSplit/>
        </w:trPr>
        <w:tc>
          <w:tcPr>
            <w:tcW w:type="dxa" w:w="1701"/>
            <w:vAlign w:val="center"/>
          </w:tcPr>
          <w:p>
            <w:pPr>
              <w:keepNext w:val="0"/>
              <w:spacing w:after="0" w:before="0" w:line="276" w:lineRule="auto"/>
              <w:jc w:val="left"/>
            </w:pPr>
            <w:r>
              <w:rPr>
                <w:rFonts w:ascii="Arial" w:hAnsi="Arial" w:eastAsia="宋体"/>
                <w:b w:val="0"/>
                <w:color w:val="000000"/>
                <w:sz w:val="19"/>
              </w:rPr>
              <w:t>第三批 P0</w:t>
            </w:r>
          </w:p>
        </w:tc>
        <w:tc>
          <w:tcPr>
            <w:tcW w:type="dxa" w:w="3572"/>
            <w:vAlign w:val="center"/>
          </w:tcPr>
          <w:p>
            <w:pPr>
              <w:keepNext w:val="0"/>
              <w:spacing w:after="0" w:before="0" w:line="276" w:lineRule="auto"/>
              <w:jc w:val="left"/>
            </w:pPr>
            <w:r>
              <w:rPr>
                <w:rFonts w:ascii="Arial" w:hAnsi="Arial" w:eastAsia="宋体"/>
                <w:b w:val="0"/>
                <w:color w:val="000000"/>
                <w:sz w:val="19"/>
              </w:rPr>
              <w:t>基础关系、分类排名、关键词趋势、增量与审计</w:t>
            </w:r>
          </w:p>
        </w:tc>
        <w:tc>
          <w:tcPr>
            <w:tcW w:type="dxa" w:w="4082"/>
            <w:vAlign w:val="center"/>
          </w:tcPr>
          <w:p>
            <w:pPr>
              <w:keepNext w:val="0"/>
              <w:spacing w:after="0" w:before="0" w:line="276" w:lineRule="auto"/>
              <w:jc w:val="left"/>
            </w:pPr>
            <w:r>
              <w:rPr>
                <w:rFonts w:ascii="Arial" w:hAnsi="Arial" w:eastAsia="宋体"/>
                <w:b w:val="0"/>
                <w:color w:val="000000"/>
                <w:sz w:val="19"/>
              </w:rPr>
              <w:t>统计口径一致、失败可恢复、变更可追踪</w:t>
            </w:r>
          </w:p>
        </w:tc>
      </w:tr>
      <w:tr>
        <w:trPr>
          <w:cantSplit/>
        </w:trPr>
        <w:tc>
          <w:tcPr>
            <w:tcW w:type="dxa" w:w="1701"/>
            <w:vAlign w:val="center"/>
          </w:tcPr>
          <w:p>
            <w:pPr>
              <w:keepNext w:val="0"/>
              <w:spacing w:after="0" w:before="0" w:line="276" w:lineRule="auto"/>
              <w:jc w:val="left"/>
            </w:pPr>
            <w:r>
              <w:rPr>
                <w:rFonts w:ascii="Arial" w:hAnsi="Arial" w:eastAsia="宋体"/>
                <w:b w:val="0"/>
                <w:color w:val="000000"/>
                <w:sz w:val="19"/>
              </w:rPr>
              <w:t>第四批 P1</w:t>
            </w:r>
          </w:p>
        </w:tc>
        <w:tc>
          <w:tcPr>
            <w:tcW w:type="dxa" w:w="3572"/>
            <w:vAlign w:val="center"/>
          </w:tcPr>
          <w:p>
            <w:pPr>
              <w:keepNext w:val="0"/>
              <w:spacing w:after="0" w:before="0" w:line="276" w:lineRule="auto"/>
              <w:jc w:val="left"/>
            </w:pPr>
            <w:r>
              <w:rPr>
                <w:rFonts w:ascii="Arial" w:hAnsi="Arial" w:eastAsia="宋体"/>
                <w:b w:val="0"/>
                <w:color w:val="000000"/>
                <w:sz w:val="19"/>
              </w:rPr>
              <w:t>可过滤的合作网络、最短路径和边证据</w:t>
            </w:r>
          </w:p>
        </w:tc>
        <w:tc>
          <w:tcPr>
            <w:tcW w:type="dxa" w:w="4082"/>
            <w:vAlign w:val="center"/>
          </w:tcPr>
          <w:p>
            <w:pPr>
              <w:keepNext w:val="0"/>
              <w:spacing w:after="0" w:before="0" w:line="276" w:lineRule="auto"/>
              <w:jc w:val="left"/>
            </w:pPr>
            <w:r>
              <w:rPr>
                <w:rFonts w:ascii="Arial" w:hAnsi="Arial" w:eastAsia="宋体"/>
                <w:b w:val="0"/>
                <w:color w:val="000000"/>
                <w:sz w:val="19"/>
              </w:rPr>
              <w:t>与基础关系展示形成可验证的创新增量</w:t>
            </w:r>
          </w:p>
        </w:tc>
      </w:tr>
    </w:tbl>
    <w:p>
      <w:pPr>
        <w:spacing w:after="40" w:line="96" w:lineRule="auto"/>
      </w:pPr>
    </w:p>
    <w:p>
      <w:r>
        <w:rPr>
          <w:rFonts w:ascii="Arial" w:hAnsi="Arial" w:eastAsia="宋体"/>
          <w:b w:val="0"/>
          <w:color w:val="000000"/>
          <w:sz w:val="22"/>
        </w:rPr>
        <w:t>最终演示应形成“采集→清洗→入库→检索→统计”的闭环，成果不少于1万条，四种类型都有样例，至少完成1项创新功能，并按任务书展示Agentic Coding证据。这些是后续验收目标，本次材料不把它们写成已实现结果。[C1]</w:t>
      </w:r>
    </w:p>
    <w:p>
      <w:pPr>
        <w:pStyle w:val="Heading1"/>
      </w:pPr>
      <w:r>
        <w:rPr>
          <w:rFonts w:ascii="Arial" w:hAnsi="Arial" w:eastAsia="微软雅黑"/>
          <w:b/>
          <w:color w:val="000000"/>
          <w:sz w:val="28"/>
        </w:rPr>
        <w:t>6 风险与处理</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1701"/>
        <w:gridCol w:w="2551"/>
        <w:gridCol w:w="2551"/>
        <w:gridCol w:w="2551"/>
      </w:tblGrid>
      <w:tr>
        <w:trPr>
          <w:cantSplit/>
          <w:tblHeader/>
        </w:trPr>
        <w:tc>
          <w:tcPr>
            <w:tcW w:type="dxa" w:w="1701"/>
            <w:vAlign w:val="center"/>
            <w:shd w:fill="E8EEF4"/>
          </w:tcPr>
          <w:p>
            <w:pPr>
              <w:keepNext/>
              <w:spacing w:after="0" w:before="0" w:line="276" w:lineRule="auto"/>
              <w:jc w:val="center"/>
            </w:pPr>
            <w:r>
              <w:rPr>
                <w:rFonts w:ascii="Arial" w:hAnsi="Arial" w:eastAsia="宋体"/>
                <w:b/>
                <w:color w:val="000000"/>
                <w:sz w:val="19"/>
              </w:rPr>
              <w:t>风险</w:t>
            </w:r>
          </w:p>
        </w:tc>
        <w:tc>
          <w:tcPr>
            <w:tcW w:type="dxa" w:w="2551"/>
            <w:vAlign w:val="center"/>
            <w:shd w:fill="E8EEF4"/>
          </w:tcPr>
          <w:p>
            <w:pPr>
              <w:keepNext/>
              <w:spacing w:after="0" w:before="0" w:line="276" w:lineRule="auto"/>
              <w:jc w:val="center"/>
            </w:pPr>
            <w:r>
              <w:rPr>
                <w:rFonts w:ascii="Arial" w:hAnsi="Arial" w:eastAsia="宋体"/>
                <w:b/>
                <w:color w:val="000000"/>
                <w:sz w:val="19"/>
              </w:rPr>
              <w:t>影响</w:t>
            </w:r>
          </w:p>
        </w:tc>
        <w:tc>
          <w:tcPr>
            <w:tcW w:type="dxa" w:w="2551"/>
            <w:vAlign w:val="center"/>
            <w:shd w:fill="E8EEF4"/>
          </w:tcPr>
          <w:p>
            <w:pPr>
              <w:keepNext/>
              <w:spacing w:after="0" w:before="0" w:line="276" w:lineRule="auto"/>
              <w:jc w:val="center"/>
            </w:pPr>
            <w:r>
              <w:rPr>
                <w:rFonts w:ascii="Arial" w:hAnsi="Arial" w:eastAsia="宋体"/>
                <w:b/>
                <w:color w:val="000000"/>
                <w:sz w:val="19"/>
              </w:rPr>
              <w:t>处理方案</w:t>
            </w:r>
          </w:p>
        </w:tc>
        <w:tc>
          <w:tcPr>
            <w:tcW w:type="dxa" w:w="2551"/>
            <w:vAlign w:val="center"/>
            <w:shd w:fill="E8EEF4"/>
          </w:tcPr>
          <w:p>
            <w:pPr>
              <w:keepNext/>
              <w:spacing w:after="0" w:before="0" w:line="276" w:lineRule="auto"/>
              <w:jc w:val="center"/>
            </w:pPr>
            <w:r>
              <w:rPr>
                <w:rFonts w:ascii="Arial" w:hAnsi="Arial" w:eastAsia="宋体"/>
                <w:b/>
                <w:color w:val="000000"/>
                <w:sz w:val="19"/>
              </w:rPr>
              <w:t>触发复核的条件</w:t>
            </w:r>
          </w:p>
        </w:tc>
      </w:tr>
      <w:tr>
        <w:trPr>
          <w:cantSplit/>
        </w:trPr>
        <w:tc>
          <w:tcPr>
            <w:tcW w:type="dxa" w:w="1701"/>
            <w:vAlign w:val="center"/>
          </w:tcPr>
          <w:p>
            <w:pPr>
              <w:keepNext w:val="0"/>
              <w:spacing w:after="0" w:before="0" w:line="276" w:lineRule="auto"/>
              <w:jc w:val="center"/>
            </w:pPr>
            <w:r>
              <w:rPr>
                <w:rFonts w:ascii="Arial" w:hAnsi="Arial" w:eastAsia="宋体"/>
                <w:b w:val="0"/>
                <w:color w:val="000000"/>
                <w:sz w:val="19"/>
              </w:rPr>
              <w:t>同名作者误合并</w:t>
            </w:r>
          </w:p>
        </w:tc>
        <w:tc>
          <w:tcPr>
            <w:tcW w:type="dxa" w:w="2551"/>
            <w:vAlign w:val="center"/>
          </w:tcPr>
          <w:p>
            <w:pPr>
              <w:keepNext w:val="0"/>
              <w:spacing w:after="0" w:before="0" w:line="276" w:lineRule="auto"/>
              <w:jc w:val="center"/>
            </w:pPr>
            <w:r>
              <w:rPr>
                <w:rFonts w:ascii="Arial" w:hAnsi="Arial" w:eastAsia="宋体"/>
                <w:b w:val="0"/>
                <w:color w:val="000000"/>
                <w:sz w:val="19"/>
              </w:rPr>
              <w:t>错误认领与统计失真</w:t>
            </w:r>
          </w:p>
        </w:tc>
        <w:tc>
          <w:tcPr>
            <w:tcW w:type="dxa" w:w="2551"/>
            <w:vAlign w:val="center"/>
          </w:tcPr>
          <w:p>
            <w:pPr>
              <w:keepNext w:val="0"/>
              <w:spacing w:after="0" w:before="0" w:line="276" w:lineRule="auto"/>
              <w:jc w:val="left"/>
            </w:pPr>
            <w:r>
              <w:rPr>
                <w:rFonts w:ascii="Arial" w:hAnsi="Arial" w:eastAsia="宋体"/>
                <w:b w:val="0"/>
                <w:color w:val="000000"/>
                <w:sz w:val="19"/>
              </w:rPr>
              <w:t>稳定标识优先，不确定关联人工复核</w:t>
            </w:r>
          </w:p>
        </w:tc>
        <w:tc>
          <w:tcPr>
            <w:tcW w:type="dxa" w:w="2551"/>
            <w:vAlign w:val="center"/>
          </w:tcPr>
          <w:p>
            <w:pPr>
              <w:keepNext w:val="0"/>
              <w:spacing w:after="0" w:before="0" w:line="276" w:lineRule="auto"/>
              <w:jc w:val="center"/>
            </w:pPr>
            <w:r>
              <w:rPr>
                <w:rFonts w:ascii="Arial" w:hAnsi="Arial" w:eastAsia="宋体"/>
                <w:b w:val="0"/>
                <w:color w:val="000000"/>
                <w:sz w:val="19"/>
              </w:rPr>
              <w:t>标识冲突或仅有姓名</w:t>
            </w:r>
          </w:p>
        </w:tc>
      </w:tr>
      <w:tr>
        <w:trPr>
          <w:cantSplit/>
        </w:trPr>
        <w:tc>
          <w:tcPr>
            <w:tcW w:type="dxa" w:w="1701"/>
            <w:vAlign w:val="center"/>
          </w:tcPr>
          <w:p>
            <w:pPr>
              <w:keepNext w:val="0"/>
              <w:spacing w:after="0" w:before="0" w:line="276" w:lineRule="auto"/>
              <w:jc w:val="center"/>
            </w:pPr>
            <w:r>
              <w:rPr>
                <w:rFonts w:ascii="Arial" w:hAnsi="Arial" w:eastAsia="宋体"/>
                <w:b w:val="0"/>
                <w:color w:val="000000"/>
                <w:sz w:val="19"/>
              </w:rPr>
              <w:t>公开入口不支持批量</w:t>
            </w:r>
          </w:p>
        </w:tc>
        <w:tc>
          <w:tcPr>
            <w:tcW w:type="dxa" w:w="2551"/>
            <w:vAlign w:val="center"/>
          </w:tcPr>
          <w:p>
            <w:pPr>
              <w:keepNext w:val="0"/>
              <w:spacing w:after="0" w:before="0" w:line="276" w:lineRule="auto"/>
              <w:jc w:val="center"/>
            </w:pPr>
            <w:r>
              <w:rPr>
                <w:rFonts w:ascii="Arial" w:hAnsi="Arial" w:eastAsia="宋体"/>
                <w:b w:val="0"/>
                <w:color w:val="000000"/>
                <w:sz w:val="19"/>
              </w:rPr>
              <w:t>数据链路受阻</w:t>
            </w:r>
          </w:p>
        </w:tc>
        <w:tc>
          <w:tcPr>
            <w:tcW w:type="dxa" w:w="2551"/>
            <w:vAlign w:val="center"/>
          </w:tcPr>
          <w:p>
            <w:pPr>
              <w:keepNext w:val="0"/>
              <w:spacing w:after="0" w:before="0" w:line="276" w:lineRule="auto"/>
              <w:jc w:val="left"/>
            </w:pPr>
            <w:r>
              <w:rPr>
                <w:rFonts w:ascii="Arial" w:hAnsi="Arial" w:eastAsia="宋体"/>
                <w:b w:val="0"/>
                <w:color w:val="000000"/>
                <w:sz w:val="19"/>
              </w:rPr>
              <w:t>来源分级，许可导入与模拟数据备用</w:t>
            </w:r>
          </w:p>
        </w:tc>
        <w:tc>
          <w:tcPr>
            <w:tcW w:type="dxa" w:w="2551"/>
            <w:vAlign w:val="center"/>
          </w:tcPr>
          <w:p>
            <w:pPr>
              <w:keepNext w:val="0"/>
              <w:spacing w:after="0" w:before="0" w:line="276" w:lineRule="auto"/>
              <w:jc w:val="left"/>
            </w:pPr>
            <w:r>
              <w:rPr>
                <w:rFonts w:ascii="Arial" w:hAnsi="Arial" w:eastAsia="宋体"/>
                <w:b w:val="0"/>
                <w:color w:val="000000"/>
                <w:sz w:val="19"/>
              </w:rPr>
              <w:t>验证码、403、持续429或条款限制</w:t>
            </w:r>
          </w:p>
        </w:tc>
      </w:tr>
      <w:tr>
        <w:trPr>
          <w:cantSplit/>
        </w:trPr>
        <w:tc>
          <w:tcPr>
            <w:tcW w:type="dxa" w:w="1701"/>
            <w:vAlign w:val="center"/>
          </w:tcPr>
          <w:p>
            <w:pPr>
              <w:keepNext w:val="0"/>
              <w:spacing w:after="0" w:before="0" w:line="276" w:lineRule="auto"/>
              <w:jc w:val="center"/>
            </w:pPr>
            <w:r>
              <w:rPr>
                <w:rFonts w:ascii="Arial" w:hAnsi="Arial" w:eastAsia="宋体"/>
                <w:b w:val="0"/>
                <w:color w:val="000000"/>
                <w:sz w:val="19"/>
              </w:rPr>
              <w:t>四类成果字段不一致</w:t>
            </w:r>
          </w:p>
        </w:tc>
        <w:tc>
          <w:tcPr>
            <w:tcW w:type="dxa" w:w="2551"/>
            <w:vAlign w:val="center"/>
          </w:tcPr>
          <w:p>
            <w:pPr>
              <w:keepNext w:val="0"/>
              <w:spacing w:after="0" w:before="0" w:line="276" w:lineRule="auto"/>
              <w:jc w:val="center"/>
            </w:pPr>
            <w:r>
              <w:rPr>
                <w:rFonts w:ascii="Arial" w:hAnsi="Arial" w:eastAsia="宋体"/>
                <w:b w:val="0"/>
                <w:color w:val="000000"/>
                <w:sz w:val="19"/>
              </w:rPr>
              <w:t>必填约束不合理</w:t>
            </w:r>
          </w:p>
        </w:tc>
        <w:tc>
          <w:tcPr>
            <w:tcW w:type="dxa" w:w="2551"/>
            <w:vAlign w:val="center"/>
          </w:tcPr>
          <w:p>
            <w:pPr>
              <w:keepNext w:val="0"/>
              <w:spacing w:after="0" w:before="0" w:line="276" w:lineRule="auto"/>
              <w:jc w:val="left"/>
            </w:pPr>
            <w:r>
              <w:rPr>
                <w:rFonts w:ascii="Arial" w:hAnsi="Arial" w:eastAsia="宋体"/>
                <w:b w:val="0"/>
                <w:color w:val="000000"/>
                <w:sz w:val="19"/>
              </w:rPr>
              <w:t>公共字段加类型专属字段，未知值保留</w:t>
            </w:r>
          </w:p>
        </w:tc>
        <w:tc>
          <w:tcPr>
            <w:tcW w:type="dxa" w:w="2551"/>
            <w:vAlign w:val="center"/>
          </w:tcPr>
          <w:p>
            <w:pPr>
              <w:keepNext w:val="0"/>
              <w:spacing w:after="0" w:before="0" w:line="276" w:lineRule="auto"/>
              <w:jc w:val="center"/>
            </w:pPr>
            <w:r>
              <w:rPr>
                <w:rFonts w:ascii="Arial" w:hAnsi="Arial" w:eastAsia="宋体"/>
                <w:b w:val="0"/>
                <w:color w:val="000000"/>
                <w:sz w:val="19"/>
              </w:rPr>
              <w:t>某类数据大批量被隔离</w:t>
            </w:r>
          </w:p>
        </w:tc>
      </w:tr>
      <w:tr>
        <w:trPr>
          <w:cantSplit/>
        </w:trPr>
        <w:tc>
          <w:tcPr>
            <w:tcW w:type="dxa" w:w="1701"/>
            <w:vAlign w:val="center"/>
          </w:tcPr>
          <w:p>
            <w:pPr>
              <w:keepNext w:val="0"/>
              <w:spacing w:after="0" w:before="0" w:line="276" w:lineRule="auto"/>
              <w:jc w:val="center"/>
            </w:pPr>
            <w:r>
              <w:rPr>
                <w:rFonts w:ascii="Arial" w:hAnsi="Arial" w:eastAsia="宋体"/>
                <w:b w:val="0"/>
                <w:color w:val="000000"/>
                <w:sz w:val="19"/>
              </w:rPr>
              <w:t>排名被理解为学术质量</w:t>
            </w:r>
          </w:p>
        </w:tc>
        <w:tc>
          <w:tcPr>
            <w:tcW w:type="dxa" w:w="2551"/>
            <w:vAlign w:val="center"/>
          </w:tcPr>
          <w:p>
            <w:pPr>
              <w:keepNext w:val="0"/>
              <w:spacing w:after="0" w:before="0" w:line="276" w:lineRule="auto"/>
              <w:jc w:val="center"/>
            </w:pPr>
            <w:r>
              <w:rPr>
                <w:rFonts w:ascii="Arial" w:hAnsi="Arial" w:eastAsia="宋体"/>
                <w:b w:val="0"/>
                <w:color w:val="000000"/>
                <w:sz w:val="19"/>
              </w:rPr>
              <w:t>产生错误结论</w:t>
            </w:r>
          </w:p>
        </w:tc>
        <w:tc>
          <w:tcPr>
            <w:tcW w:type="dxa" w:w="2551"/>
            <w:vAlign w:val="center"/>
          </w:tcPr>
          <w:p>
            <w:pPr>
              <w:keepNext w:val="0"/>
              <w:spacing w:after="0" w:before="0" w:line="276" w:lineRule="auto"/>
              <w:jc w:val="left"/>
            </w:pPr>
            <w:r>
              <w:rPr>
                <w:rFonts w:ascii="Arial" w:hAnsi="Arial" w:eastAsia="宋体"/>
                <w:b w:val="0"/>
                <w:color w:val="000000"/>
                <w:sz w:val="19"/>
              </w:rPr>
              <w:t>只表达本库数量分布和可验证口径</w:t>
            </w:r>
          </w:p>
        </w:tc>
        <w:tc>
          <w:tcPr>
            <w:tcW w:type="dxa" w:w="2551"/>
            <w:vAlign w:val="center"/>
          </w:tcPr>
          <w:p>
            <w:pPr>
              <w:keepNext w:val="0"/>
              <w:spacing w:after="0" w:before="0" w:line="276" w:lineRule="auto"/>
              <w:jc w:val="center"/>
            </w:pPr>
            <w:r>
              <w:rPr>
                <w:rFonts w:ascii="Arial" w:hAnsi="Arial" w:eastAsia="宋体"/>
                <w:b w:val="0"/>
                <w:color w:val="000000"/>
                <w:sz w:val="19"/>
              </w:rPr>
              <w:t>跨领域或样本不完整</w:t>
            </w:r>
          </w:p>
        </w:tc>
      </w:tr>
      <w:tr>
        <w:trPr>
          <w:cantSplit/>
        </w:trPr>
        <w:tc>
          <w:tcPr>
            <w:tcW w:type="dxa" w:w="1701"/>
            <w:vAlign w:val="center"/>
          </w:tcPr>
          <w:p>
            <w:pPr>
              <w:keepNext w:val="0"/>
              <w:spacing w:after="0" w:before="0" w:line="276" w:lineRule="auto"/>
              <w:jc w:val="center"/>
            </w:pPr>
            <w:r>
              <w:rPr>
                <w:rFonts w:ascii="Arial" w:hAnsi="Arial" w:eastAsia="宋体"/>
                <w:b w:val="0"/>
                <w:color w:val="000000"/>
                <w:sz w:val="19"/>
              </w:rPr>
              <w:t>二手研究迁移偏差</w:t>
            </w:r>
          </w:p>
        </w:tc>
        <w:tc>
          <w:tcPr>
            <w:tcW w:type="dxa" w:w="2551"/>
            <w:vAlign w:val="center"/>
          </w:tcPr>
          <w:p>
            <w:pPr>
              <w:keepNext w:val="0"/>
              <w:spacing w:after="0" w:before="0" w:line="276" w:lineRule="auto"/>
              <w:jc w:val="center"/>
            </w:pPr>
            <w:r>
              <w:rPr>
                <w:rFonts w:ascii="Arial" w:hAnsi="Arial" w:eastAsia="宋体"/>
                <w:b w:val="0"/>
                <w:color w:val="000000"/>
                <w:sz w:val="19"/>
              </w:rPr>
              <w:t>优先级不匹配本校场景</w:t>
            </w:r>
          </w:p>
        </w:tc>
        <w:tc>
          <w:tcPr>
            <w:tcW w:type="dxa" w:w="2551"/>
            <w:vAlign w:val="center"/>
          </w:tcPr>
          <w:p>
            <w:pPr>
              <w:keepNext w:val="0"/>
              <w:spacing w:after="0" w:before="0" w:line="276" w:lineRule="auto"/>
              <w:jc w:val="left"/>
            </w:pPr>
            <w:r>
              <w:rPr>
                <w:rFonts w:ascii="Arial" w:hAnsi="Arial" w:eastAsia="宋体"/>
                <w:b w:val="0"/>
                <w:color w:val="000000"/>
                <w:sz w:val="19"/>
              </w:rPr>
              <w:t>本地访谈验证，记录反例并调整</w:t>
            </w:r>
          </w:p>
        </w:tc>
        <w:tc>
          <w:tcPr>
            <w:tcW w:type="dxa" w:w="2551"/>
            <w:vAlign w:val="center"/>
          </w:tcPr>
          <w:p>
            <w:pPr>
              <w:keepNext w:val="0"/>
              <w:spacing w:after="0" w:before="0" w:line="276" w:lineRule="auto"/>
              <w:jc w:val="center"/>
            </w:pPr>
            <w:r>
              <w:rPr>
                <w:rFonts w:ascii="Arial" w:hAnsi="Arial" w:eastAsia="宋体"/>
                <w:b w:val="0"/>
                <w:color w:val="000000"/>
                <w:sz w:val="19"/>
              </w:rPr>
              <w:t>真实用户任务与假设不符</w:t>
            </w:r>
          </w:p>
        </w:tc>
      </w:tr>
    </w:tbl>
    <w:p>
      <w:pPr>
        <w:spacing w:after="40" w:line="96" w:lineRule="auto"/>
      </w:pPr>
    </w:p>
    <w:p>
      <w:pPr>
        <w:pStyle w:val="Heading1"/>
      </w:pPr>
      <w:r>
        <w:rPr>
          <w:rFonts w:ascii="Arial" w:hAnsi="Arial" w:eastAsia="微软雅黑"/>
          <w:b/>
          <w:color w:val="000000"/>
          <w:sz w:val="28"/>
        </w:rPr>
        <w:t>7 评审关注点</w:t>
      </w:r>
    </w:p>
    <w:p>
      <w:r>
        <w:rPr>
          <w:rFonts w:ascii="Arial" w:hAnsi="Arial" w:eastAsia="宋体"/>
          <w:b w:val="0"/>
          <w:color w:val="000000"/>
          <w:sz w:val="22"/>
        </w:rPr>
        <w:t>请评审三项待确认决策：认领需要哪些最小证据；四类成果演示数据的比例与获取方式；合作路径是否满足本组创新目标。审核人、结论、日期均待填写。确认后同步更新SRS、SPEC、模型及追踪矩阵，保持FR01—FR16编号稳定。</w:t>
      </w:r>
    </w:p>
    <w:p>
      <w:r>
        <w:rPr>
          <w:rFonts w:ascii="Arial" w:hAnsi="Arial" w:eastAsia="宋体"/>
          <w:b w:val="0"/>
          <w:color w:val="000000"/>
          <w:sz w:val="22"/>
        </w:rPr>
        <w:t>参考资料的完整链接、定位和证据等级见《调研支撑材料与公开用户研究》。</w:t>
      </w:r>
    </w:p>
    <w:sectPr w:rsidR="00FC693F" w:rsidRPr="0006063C" w:rsidSect="00034616">
      <w:footerReference w:type="default" r:id="rId9"/>
      <w:pgSz w:w="11906" w:h="16838"/>
      <w:pgMar w:top="1134" w:right="1276" w:bottom="1077" w:left="1276"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b w:val="0"/>
        <w:color w:val="000000"/>
        <w:sz w:val="18"/>
      </w:rPr>
      <w:t xml:space="preserve">第 </w:t>
    </w:r>
    <w:fldSimple w:instr="PAGE"/>
    <w:r>
      <w:rPr>
        <w:rFonts w:ascii="Arial" w:hAnsi="Arial" w:eastAsia="宋体"/>
        <w:b w:val="0"/>
        <w:color w:val="00000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93" w:lineRule="auto" w:after="100"/>
    </w:pPr>
    <w:rPr>
      <w:rFonts w:ascii="Arial" w:hAnsi="Arial"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微软雅黑"/>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微软雅黑"/>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rial" w:hAnsi="Arial" w:eastAsia="微软雅黑"/>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学术成果分享平台需求调研报告</dc:title>
  <dc:subject>软件系统分析与设计 需求调研与需求建模</dc:subject>
  <dc:creator>自定义名称8</dc:creator>
  <cp:keywords/>
  <dc:description>generated by python-docx</dc:description>
  <cp:lastModifiedBy>自定义名称8</cp:lastModifiedBy>
  <cp:revision>1</cp:revision>
  <dcterms:created xsi:type="dcterms:W3CDTF">2013-12-23T23:15:00Z</dcterms:created>
  <dcterms:modified xsi:type="dcterms:W3CDTF">2013-12-23T23:15:00Z</dcterms:modified>
  <cp:category/>
</cp:coreProperties>
</file>