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微软雅黑"/>
          <w:b/>
          <w:color w:val="000000"/>
          <w:sz w:val="42"/>
        </w:rPr>
        <w:t>学术成果分享平台核心模块开发规范</w:t>
      </w:r>
    </w:p>
    <w:p>
      <w:pPr>
        <w:spacing w:after="240"/>
      </w:pPr>
      <w:r>
        <w:rPr>
          <w:rFonts w:ascii="Arial" w:hAnsi="Arial" w:eastAsia="宋体"/>
          <w:b w:val="0"/>
          <w:color w:val="000000"/>
          <w:sz w:val="19"/>
        </w:rPr>
        <w:t>组号 01组　团队 自定义名称8　班级 谭火彬班</w:t>
        <w:br/>
        <w:t>团队负责人 李沐衡　版本 1.2　日期 2026年10月13日</w:t>
      </w:r>
    </w:p>
    <w:p>
      <w:r>
        <w:rPr>
          <w:rFonts w:ascii="Arial" w:hAnsi="Arial" w:eastAsia="宋体"/>
          <w:b w:val="0"/>
          <w:color w:val="000000"/>
          <w:sz w:val="22"/>
        </w:rPr>
        <w:t>本规范把SRS转化为可实现和可验证的处理规则，覆盖SP01采集清洗、SP02去重消歧、SP03检索排序、SP04认领审核与权限、SP05统计和合作路径。以下算法、阈值和资源边界为本阶段设计基线；阈值应在真实标注样本上校准，本文的例子只验证规则含义，不构成已实现系统的测试结果。</w:t>
      </w:r>
    </w:p>
    <w:p>
      <w:pPr>
        <w:pStyle w:val="Heading1"/>
      </w:pPr>
      <w:r>
        <w:rPr>
          <w:rFonts w:ascii="Arial" w:hAnsi="Arial" w:eastAsia="微软雅黑"/>
          <w:b/>
          <w:color w:val="000000"/>
          <w:sz w:val="28"/>
        </w:rPr>
        <w:t>1 共同契约</w:t>
      </w:r>
    </w:p>
    <w:p>
      <w:r>
        <w:rPr>
          <w:rFonts w:ascii="Arial" w:hAnsi="Arial" w:eastAsia="宋体"/>
          <w:b w:val="0"/>
          <w:color w:val="000000"/>
          <w:sz w:val="22"/>
        </w:rPr>
        <w:t>所有模块接收带类型的数据结构，拒绝不支持的枚举、过长输入和缺少必要字段的请求。日志含request_id、规则版本、操作人或任务ID和结果，禁止记录密码、访问密钥和认领材料正文。时间以ISO 8601保存；机器内部统一时区，显示使用Asia/Shanghai。</w:t>
      </w:r>
    </w:p>
    <w:p>
      <w:r>
        <w:rPr>
          <w:rFonts w:ascii="Arial" w:hAnsi="Arial" w:eastAsia="宋体"/>
          <w:b w:val="0"/>
          <w:color w:val="000000"/>
          <w:sz w:val="22"/>
        </w:rPr>
        <w:t>每次可见修改应生成version；客户端更新带expected_version。写操作需幂等键：同键同内容返回原结果，同键不同内容返回409。索引刷新和统计重算可以异步，成功响应应区分“已保存”和“已发布”。权限撤销立即在服务端生效。</w:t>
      </w:r>
    </w:p>
    <w:p>
      <w:pPr>
        <w:pStyle w:val="Heading1"/>
      </w:pPr>
      <w:r>
        <w:rPr>
          <w:rFonts w:ascii="Arial" w:hAnsi="Arial" w:eastAsia="微软雅黑"/>
          <w:b/>
          <w:color w:val="000000"/>
          <w:sz w:val="28"/>
        </w:rPr>
        <w:t>2 SP01 采集清洗与增量</w:t>
      </w:r>
    </w:p>
    <w:p>
      <w:r>
        <w:rPr>
          <w:rFonts w:ascii="Arial" w:hAnsi="Arial" w:eastAsia="宋体"/>
          <w:b w:val="0"/>
          <w:color w:val="000000"/>
          <w:sz w:val="22"/>
        </w:rPr>
        <w:t>对应FR02、FR03、FR05、FR14与AT02、AT03、AT05、AT14。输入是SourceEnvelope，至少含source、fetched_at、payload、source_record_id或source_url；输出为NormalizedRecord或QuarantineRecord，均带source_ref、rule_version与原因列表。</w:t>
      </w:r>
    </w:p>
    <w:p>
      <w:pPr>
        <w:pStyle w:val="Heading2"/>
      </w:pPr>
      <w:r>
        <w:rPr>
          <w:rFonts w:ascii="Arial" w:hAnsi="Arial" w:eastAsia="微软雅黑"/>
          <w:b/>
          <w:color w:val="000000"/>
          <w:sz w:val="23"/>
        </w:rPr>
        <w:t>2 1 数据清洗规则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01"/>
        <w:gridCol w:w="3572"/>
        <w:gridCol w:w="4082"/>
      </w:tblGrid>
      <w:tr>
        <w:trPr>
          <w:cantSplit/>
          <w:tblHeader/>
        </w:trPr>
        <w:tc>
          <w:tcPr>
            <w:tcW w:type="dxa" w:w="1701"/>
            <w:vAlign w:val="center"/>
            <w:shd w:fill="E8EEF4"/>
          </w:tcPr>
          <w:p>
            <w:pPr>
              <w:keepNext/>
              <w:spacing w:after="0" w:before="0" w:line="276" w:lineRule="auto"/>
              <w:jc w:val="center"/>
            </w:pPr>
            <w:r>
              <w:rPr>
                <w:rFonts w:ascii="Arial" w:hAnsi="Arial" w:eastAsia="宋体"/>
                <w:b/>
                <w:color w:val="000000"/>
                <w:sz w:val="19"/>
              </w:rPr>
              <w:t>规则</w:t>
            </w:r>
          </w:p>
        </w:tc>
        <w:tc>
          <w:tcPr>
            <w:tcW w:type="dxa" w:w="3572"/>
            <w:vAlign w:val="center"/>
            <w:shd w:fill="E8EEF4"/>
          </w:tcPr>
          <w:p>
            <w:pPr>
              <w:keepNext/>
              <w:spacing w:after="0" w:before="0" w:line="276" w:lineRule="auto"/>
              <w:jc w:val="center"/>
            </w:pPr>
            <w:r>
              <w:rPr>
                <w:rFonts w:ascii="Arial" w:hAnsi="Arial" w:eastAsia="宋体"/>
                <w:b/>
                <w:color w:val="000000"/>
                <w:sz w:val="19"/>
              </w:rPr>
              <w:t>处理</w:t>
            </w:r>
          </w:p>
        </w:tc>
        <w:tc>
          <w:tcPr>
            <w:tcW w:type="dxa" w:w="4082"/>
            <w:vAlign w:val="center"/>
            <w:shd w:fill="E8EEF4"/>
          </w:tcPr>
          <w:p>
            <w:pPr>
              <w:keepNext/>
              <w:spacing w:after="0" w:before="0" w:line="276" w:lineRule="auto"/>
              <w:jc w:val="center"/>
            </w:pPr>
            <w:r>
              <w:rPr>
                <w:rFonts w:ascii="Arial" w:hAnsi="Arial" w:eastAsia="宋体"/>
                <w:b/>
                <w:color w:val="000000"/>
                <w:sz w:val="19"/>
              </w:rPr>
              <w:t>失败或未知的处理</w:t>
            </w:r>
          </w:p>
        </w:tc>
      </w:tr>
      <w:tr>
        <w:trPr>
          <w:cantSplit/>
        </w:trPr>
        <w:tc>
          <w:tcPr>
            <w:tcW w:type="dxa" w:w="1701"/>
            <w:vAlign w:val="center"/>
          </w:tcPr>
          <w:p>
            <w:pPr>
              <w:keepNext w:val="0"/>
              <w:spacing w:after="0" w:before="0" w:line="276" w:lineRule="auto"/>
              <w:jc w:val="left"/>
            </w:pPr>
            <w:r>
              <w:rPr>
                <w:rFonts w:ascii="Arial" w:hAnsi="Arial" w:eastAsia="宋体"/>
                <w:b w:val="0"/>
                <w:color w:val="000000"/>
                <w:sz w:val="19"/>
              </w:rPr>
              <w:t>C01 类型</w:t>
            </w:r>
          </w:p>
        </w:tc>
        <w:tc>
          <w:tcPr>
            <w:tcW w:type="dxa" w:w="3572"/>
            <w:vAlign w:val="center"/>
          </w:tcPr>
          <w:p>
            <w:pPr>
              <w:keepNext w:val="0"/>
              <w:spacing w:after="0" w:before="0" w:line="276" w:lineRule="auto"/>
              <w:jc w:val="left"/>
            </w:pPr>
            <w:r>
              <w:rPr>
                <w:rFonts w:ascii="Arial" w:hAnsi="Arial" w:eastAsia="宋体"/>
                <w:b w:val="0"/>
                <w:color w:val="000000"/>
                <w:sz w:val="19"/>
              </w:rPr>
              <w:t>映射为paper patent project award之一</w:t>
            </w:r>
          </w:p>
        </w:tc>
        <w:tc>
          <w:tcPr>
            <w:tcW w:type="dxa" w:w="4082"/>
            <w:vAlign w:val="center"/>
          </w:tcPr>
          <w:p>
            <w:pPr>
              <w:keepNext w:val="0"/>
              <w:spacing w:after="0" w:before="0" w:line="276" w:lineRule="auto"/>
              <w:jc w:val="left"/>
            </w:pPr>
            <w:r>
              <w:rPr>
                <w:rFonts w:ascii="Arial" w:hAnsi="Arial" w:eastAsia="宋体"/>
                <w:b w:val="0"/>
                <w:color w:val="000000"/>
                <w:sz w:val="19"/>
              </w:rPr>
              <w:t>无法识别则隔离</w:t>
            </w:r>
          </w:p>
        </w:tc>
      </w:tr>
      <w:tr>
        <w:trPr>
          <w:cantSplit/>
        </w:trPr>
        <w:tc>
          <w:tcPr>
            <w:tcW w:type="dxa" w:w="1701"/>
            <w:vAlign w:val="center"/>
          </w:tcPr>
          <w:p>
            <w:pPr>
              <w:keepNext w:val="0"/>
              <w:spacing w:after="0" w:before="0" w:line="276" w:lineRule="auto"/>
              <w:jc w:val="left"/>
            </w:pPr>
            <w:r>
              <w:rPr>
                <w:rFonts w:ascii="Arial" w:hAnsi="Arial" w:eastAsia="宋体"/>
                <w:b w:val="0"/>
                <w:color w:val="000000"/>
                <w:sz w:val="19"/>
              </w:rPr>
              <w:t>C02 题名</w:t>
            </w:r>
          </w:p>
        </w:tc>
        <w:tc>
          <w:tcPr>
            <w:tcW w:type="dxa" w:w="3572"/>
            <w:vAlign w:val="center"/>
          </w:tcPr>
          <w:p>
            <w:pPr>
              <w:keepNext w:val="0"/>
              <w:spacing w:after="0" w:before="0" w:line="276" w:lineRule="auto"/>
              <w:jc w:val="left"/>
            </w:pPr>
            <w:r>
              <w:rPr>
                <w:rFonts w:ascii="Arial" w:hAnsi="Arial" w:eastAsia="宋体"/>
                <w:b w:val="0"/>
                <w:color w:val="000000"/>
                <w:sz w:val="19"/>
              </w:rPr>
              <w:t>保留原文，规范字段做Unicode NFKC 首尾去空白 连续空白折叠</w:t>
            </w:r>
          </w:p>
        </w:tc>
        <w:tc>
          <w:tcPr>
            <w:tcW w:type="dxa" w:w="4082"/>
            <w:vAlign w:val="center"/>
          </w:tcPr>
          <w:p>
            <w:pPr>
              <w:keepNext w:val="0"/>
              <w:spacing w:after="0" w:before="0" w:line="276" w:lineRule="auto"/>
              <w:jc w:val="left"/>
            </w:pPr>
            <w:r>
              <w:rPr>
                <w:rFonts w:ascii="Arial" w:hAnsi="Arial" w:eastAsia="宋体"/>
                <w:b w:val="0"/>
                <w:color w:val="000000"/>
                <w:sz w:val="19"/>
              </w:rPr>
              <w:t>规范题名为空则隔离</w:t>
            </w:r>
          </w:p>
        </w:tc>
      </w:tr>
      <w:tr>
        <w:trPr>
          <w:cantSplit/>
        </w:trPr>
        <w:tc>
          <w:tcPr>
            <w:tcW w:type="dxa" w:w="1701"/>
            <w:vAlign w:val="center"/>
          </w:tcPr>
          <w:p>
            <w:pPr>
              <w:keepNext w:val="0"/>
              <w:spacing w:after="0" w:before="0" w:line="276" w:lineRule="auto"/>
              <w:jc w:val="left"/>
            </w:pPr>
            <w:r>
              <w:rPr>
                <w:rFonts w:ascii="Arial" w:hAnsi="Arial" w:eastAsia="宋体"/>
                <w:b w:val="0"/>
                <w:color w:val="000000"/>
                <w:sz w:val="19"/>
              </w:rPr>
              <w:t>C03 年份</w:t>
            </w:r>
          </w:p>
        </w:tc>
        <w:tc>
          <w:tcPr>
            <w:tcW w:type="dxa" w:w="3572"/>
            <w:vAlign w:val="center"/>
          </w:tcPr>
          <w:p>
            <w:pPr>
              <w:keepNext w:val="0"/>
              <w:spacing w:after="0" w:before="0" w:line="276" w:lineRule="auto"/>
              <w:jc w:val="left"/>
            </w:pPr>
            <w:r>
              <w:rPr>
                <w:rFonts w:ascii="Arial" w:hAnsi="Arial" w:eastAsia="宋体"/>
                <w:b w:val="0"/>
                <w:color w:val="000000"/>
                <w:sz w:val="19"/>
              </w:rPr>
              <w:t>解析来源的明确年份或日期并记录精度</w:t>
            </w:r>
          </w:p>
        </w:tc>
        <w:tc>
          <w:tcPr>
            <w:tcW w:type="dxa" w:w="4082"/>
            <w:vAlign w:val="center"/>
          </w:tcPr>
          <w:p>
            <w:pPr>
              <w:keepNext w:val="0"/>
              <w:spacing w:after="0" w:before="0" w:line="276" w:lineRule="auto"/>
              <w:jc w:val="left"/>
            </w:pPr>
            <w:r>
              <w:rPr>
                <w:rFonts w:ascii="Arial" w:hAnsi="Arial" w:eastAsia="宋体"/>
                <w:b w:val="0"/>
                <w:color w:val="000000"/>
                <w:sz w:val="19"/>
              </w:rPr>
              <w:t>缺失为null；非法值或未来年份加质量标记，待复核</w:t>
            </w:r>
          </w:p>
        </w:tc>
      </w:tr>
      <w:tr>
        <w:trPr>
          <w:cantSplit/>
        </w:trPr>
        <w:tc>
          <w:tcPr>
            <w:tcW w:type="dxa" w:w="1701"/>
            <w:vAlign w:val="center"/>
          </w:tcPr>
          <w:p>
            <w:pPr>
              <w:keepNext w:val="0"/>
              <w:spacing w:after="0" w:before="0" w:line="276" w:lineRule="auto"/>
              <w:jc w:val="left"/>
            </w:pPr>
            <w:r>
              <w:rPr>
                <w:rFonts w:ascii="Arial" w:hAnsi="Arial" w:eastAsia="宋体"/>
                <w:b w:val="0"/>
                <w:color w:val="000000"/>
                <w:sz w:val="19"/>
              </w:rPr>
              <w:t>C04 DOI</w:t>
            </w:r>
          </w:p>
        </w:tc>
        <w:tc>
          <w:tcPr>
            <w:tcW w:type="dxa" w:w="3572"/>
            <w:vAlign w:val="center"/>
          </w:tcPr>
          <w:p>
            <w:pPr>
              <w:keepNext w:val="0"/>
              <w:spacing w:after="0" w:before="0" w:line="276" w:lineRule="auto"/>
              <w:jc w:val="left"/>
            </w:pPr>
            <w:r>
              <w:rPr>
                <w:rFonts w:ascii="Arial" w:hAnsi="Arial" w:eastAsia="宋体"/>
                <w:b w:val="0"/>
                <w:color w:val="000000"/>
                <w:sz w:val="19"/>
              </w:rPr>
              <w:t>先去首尾空白，再NFKC；不区分大小写剥离https://doi.org/或doi:前缀；再次去空白并转小写</w:t>
            </w:r>
          </w:p>
        </w:tc>
        <w:tc>
          <w:tcPr>
            <w:tcW w:type="dxa" w:w="4082"/>
            <w:vAlign w:val="center"/>
          </w:tcPr>
          <w:p>
            <w:pPr>
              <w:keepNext w:val="0"/>
              <w:spacing w:after="0" w:before="0" w:line="276" w:lineRule="auto"/>
              <w:jc w:val="left"/>
            </w:pPr>
            <w:r>
              <w:rPr>
                <w:rFonts w:ascii="Arial" w:hAnsi="Arial" w:eastAsia="宋体"/>
                <w:b w:val="0"/>
                <w:color w:val="000000"/>
                <w:sz w:val="19"/>
              </w:rPr>
              <w:t>按10.后至少4位数字、斜杠、非空且不含空白后缀校验；无效时保留原值，不作为强标识</w:t>
            </w:r>
          </w:p>
        </w:tc>
      </w:tr>
      <w:tr>
        <w:trPr>
          <w:cantSplit/>
        </w:trPr>
        <w:tc>
          <w:tcPr>
            <w:tcW w:type="dxa" w:w="1701"/>
            <w:vAlign w:val="center"/>
          </w:tcPr>
          <w:p>
            <w:pPr>
              <w:keepNext w:val="0"/>
              <w:spacing w:after="0" w:before="0" w:line="276" w:lineRule="auto"/>
              <w:jc w:val="left"/>
            </w:pPr>
            <w:r>
              <w:rPr>
                <w:rFonts w:ascii="Arial" w:hAnsi="Arial" w:eastAsia="宋体"/>
                <w:b w:val="0"/>
                <w:color w:val="000000"/>
                <w:sz w:val="19"/>
              </w:rPr>
              <w:t>C05 人名</w:t>
            </w:r>
          </w:p>
        </w:tc>
        <w:tc>
          <w:tcPr>
            <w:tcW w:type="dxa" w:w="3572"/>
            <w:vAlign w:val="center"/>
          </w:tcPr>
          <w:p>
            <w:pPr>
              <w:keepNext w:val="0"/>
              <w:spacing w:after="0" w:before="0" w:line="276" w:lineRule="auto"/>
              <w:jc w:val="left"/>
            </w:pPr>
            <w:r>
              <w:rPr>
                <w:rFonts w:ascii="Arial" w:hAnsi="Arial" w:eastAsia="宋体"/>
                <w:b w:val="0"/>
                <w:color w:val="000000"/>
                <w:sz w:val="19"/>
              </w:rPr>
              <w:t>保留显示名和原始顺序，建立检索规范名</w:t>
            </w:r>
          </w:p>
        </w:tc>
        <w:tc>
          <w:tcPr>
            <w:tcW w:type="dxa" w:w="4082"/>
            <w:vAlign w:val="center"/>
          </w:tcPr>
          <w:p>
            <w:pPr>
              <w:keepNext w:val="0"/>
              <w:spacing w:after="0" w:before="0" w:line="276" w:lineRule="auto"/>
              <w:jc w:val="left"/>
            </w:pPr>
            <w:r>
              <w:rPr>
                <w:rFonts w:ascii="Arial" w:hAnsi="Arial" w:eastAsia="宋体"/>
                <w:b w:val="0"/>
                <w:color w:val="000000"/>
                <w:sz w:val="19"/>
              </w:rPr>
              <w:t>不以姓名相等认定同人</w:t>
            </w:r>
          </w:p>
        </w:tc>
      </w:tr>
      <w:tr>
        <w:trPr>
          <w:cantSplit/>
        </w:trPr>
        <w:tc>
          <w:tcPr>
            <w:tcW w:type="dxa" w:w="1701"/>
            <w:vAlign w:val="center"/>
          </w:tcPr>
          <w:p>
            <w:pPr>
              <w:keepNext w:val="0"/>
              <w:spacing w:after="0" w:before="0" w:line="276" w:lineRule="auto"/>
              <w:jc w:val="left"/>
            </w:pPr>
            <w:r>
              <w:rPr>
                <w:rFonts w:ascii="Arial" w:hAnsi="Arial" w:eastAsia="宋体"/>
                <w:b w:val="0"/>
                <w:color w:val="000000"/>
                <w:sz w:val="19"/>
              </w:rPr>
              <w:t>C06 机构</w:t>
            </w:r>
          </w:p>
        </w:tc>
        <w:tc>
          <w:tcPr>
            <w:tcW w:type="dxa" w:w="3572"/>
            <w:vAlign w:val="center"/>
          </w:tcPr>
          <w:p>
            <w:pPr>
              <w:keepNext w:val="0"/>
              <w:spacing w:after="0" w:before="0" w:line="276" w:lineRule="auto"/>
              <w:jc w:val="left"/>
            </w:pPr>
            <w:r>
              <w:rPr>
                <w:rFonts w:ascii="Arial" w:hAnsi="Arial" w:eastAsia="宋体"/>
                <w:b w:val="0"/>
                <w:color w:val="000000"/>
                <w:sz w:val="19"/>
              </w:rPr>
              <w:t>优先映射可靠来源机构ID，记录成果发生时归属</w:t>
            </w:r>
          </w:p>
        </w:tc>
        <w:tc>
          <w:tcPr>
            <w:tcW w:type="dxa" w:w="4082"/>
            <w:vAlign w:val="center"/>
          </w:tcPr>
          <w:p>
            <w:pPr>
              <w:keepNext w:val="0"/>
              <w:spacing w:after="0" w:before="0" w:line="276" w:lineRule="auto"/>
              <w:jc w:val="left"/>
            </w:pPr>
            <w:r>
              <w:rPr>
                <w:rFonts w:ascii="Arial" w:hAnsi="Arial" w:eastAsia="宋体"/>
                <w:b w:val="0"/>
                <w:color w:val="000000"/>
                <w:sz w:val="19"/>
              </w:rPr>
              <w:t>缺失留空，不用当前机构补历史</w:t>
            </w:r>
          </w:p>
        </w:tc>
      </w:tr>
      <w:tr>
        <w:trPr>
          <w:cantSplit/>
        </w:trPr>
        <w:tc>
          <w:tcPr>
            <w:tcW w:type="dxa" w:w="1701"/>
            <w:vAlign w:val="center"/>
          </w:tcPr>
          <w:p>
            <w:pPr>
              <w:keepNext w:val="0"/>
              <w:spacing w:after="0" w:before="0" w:line="276" w:lineRule="auto"/>
              <w:jc w:val="left"/>
            </w:pPr>
            <w:r>
              <w:rPr>
                <w:rFonts w:ascii="Arial" w:hAnsi="Arial" w:eastAsia="宋体"/>
                <w:b w:val="0"/>
                <w:color w:val="000000"/>
                <w:sz w:val="19"/>
              </w:rPr>
              <w:t>C07 领域</w:t>
            </w:r>
          </w:p>
        </w:tc>
        <w:tc>
          <w:tcPr>
            <w:tcW w:type="dxa" w:w="3572"/>
            <w:vAlign w:val="center"/>
          </w:tcPr>
          <w:p>
            <w:pPr>
              <w:keepNext w:val="0"/>
              <w:spacing w:after="0" w:before="0" w:line="276" w:lineRule="auto"/>
              <w:jc w:val="left"/>
            </w:pPr>
            <w:r>
              <w:rPr>
                <w:rFonts w:ascii="Arial" w:hAnsi="Arial" w:eastAsia="宋体"/>
                <w:b w:val="0"/>
                <w:color w:val="000000"/>
                <w:sz w:val="19"/>
              </w:rPr>
              <w:t>来源标签按topic-v1映射，多值去重</w:t>
            </w:r>
          </w:p>
        </w:tc>
        <w:tc>
          <w:tcPr>
            <w:tcW w:type="dxa" w:w="4082"/>
            <w:vAlign w:val="center"/>
          </w:tcPr>
          <w:p>
            <w:pPr>
              <w:keepNext w:val="0"/>
              <w:spacing w:after="0" w:before="0" w:line="276" w:lineRule="auto"/>
              <w:jc w:val="left"/>
            </w:pPr>
            <w:r>
              <w:rPr>
                <w:rFonts w:ascii="Arial" w:hAnsi="Arial" w:eastAsia="宋体"/>
                <w:b w:val="0"/>
                <w:color w:val="000000"/>
                <w:sz w:val="19"/>
              </w:rPr>
              <w:t>未知进未分类，保留原标签</w:t>
            </w:r>
          </w:p>
        </w:tc>
      </w:tr>
      <w:tr>
        <w:trPr>
          <w:cantSplit/>
        </w:trPr>
        <w:tc>
          <w:tcPr>
            <w:tcW w:type="dxa" w:w="1701"/>
            <w:vAlign w:val="center"/>
          </w:tcPr>
          <w:p>
            <w:pPr>
              <w:keepNext w:val="0"/>
              <w:spacing w:after="0" w:before="0" w:line="276" w:lineRule="auto"/>
              <w:jc w:val="left"/>
            </w:pPr>
            <w:r>
              <w:rPr>
                <w:rFonts w:ascii="Arial" w:hAnsi="Arial" w:eastAsia="宋体"/>
                <w:b w:val="0"/>
                <w:color w:val="000000"/>
                <w:sz w:val="19"/>
              </w:rPr>
              <w:t>C08 来源</w:t>
            </w:r>
          </w:p>
        </w:tc>
        <w:tc>
          <w:tcPr>
            <w:tcW w:type="dxa" w:w="3572"/>
            <w:vAlign w:val="center"/>
          </w:tcPr>
          <w:p>
            <w:pPr>
              <w:keepNext w:val="0"/>
              <w:spacing w:after="0" w:before="0" w:line="276" w:lineRule="auto"/>
              <w:jc w:val="left"/>
            </w:pPr>
            <w:r>
              <w:rPr>
                <w:rFonts w:ascii="Arial" w:hAnsi="Arial" w:eastAsia="宋体"/>
                <w:b w:val="0"/>
                <w:color w:val="000000"/>
                <w:sz w:val="19"/>
              </w:rPr>
              <w:t>保存来源URL 外部ID 抓取时刻 内容哈希</w:t>
            </w:r>
          </w:p>
        </w:tc>
        <w:tc>
          <w:tcPr>
            <w:tcW w:type="dxa" w:w="4082"/>
            <w:vAlign w:val="center"/>
          </w:tcPr>
          <w:p>
            <w:pPr>
              <w:keepNext w:val="0"/>
              <w:spacing w:after="0" w:before="0" w:line="276" w:lineRule="auto"/>
              <w:jc w:val="left"/>
            </w:pPr>
            <w:r>
              <w:rPr>
                <w:rFonts w:ascii="Arial" w:hAnsi="Arial" w:eastAsia="宋体"/>
                <w:b w:val="0"/>
                <w:color w:val="000000"/>
                <w:sz w:val="19"/>
              </w:rPr>
              <w:t>缺少可追溯来源则隔离</w:t>
            </w:r>
          </w:p>
        </w:tc>
      </w:tr>
      <w:tr>
        <w:trPr>
          <w:cantSplit/>
        </w:trPr>
        <w:tc>
          <w:tcPr>
            <w:tcW w:type="dxa" w:w="1701"/>
            <w:vAlign w:val="center"/>
          </w:tcPr>
          <w:p>
            <w:pPr>
              <w:keepNext w:val="0"/>
              <w:spacing w:after="0" w:before="0" w:line="276" w:lineRule="auto"/>
              <w:jc w:val="left"/>
            </w:pPr>
            <w:r>
              <w:rPr>
                <w:rFonts w:ascii="Arial" w:hAnsi="Arial" w:eastAsia="宋体"/>
                <w:b w:val="0"/>
                <w:color w:val="000000"/>
                <w:sz w:val="19"/>
              </w:rPr>
              <w:t>C09 文本</w:t>
            </w:r>
          </w:p>
        </w:tc>
        <w:tc>
          <w:tcPr>
            <w:tcW w:type="dxa" w:w="3572"/>
            <w:vAlign w:val="center"/>
          </w:tcPr>
          <w:p>
            <w:pPr>
              <w:keepNext w:val="0"/>
              <w:spacing w:after="0" w:before="0" w:line="276" w:lineRule="auto"/>
              <w:jc w:val="left"/>
            </w:pPr>
            <w:r>
              <w:rPr>
                <w:rFonts w:ascii="Arial" w:hAnsi="Arial" w:eastAsia="宋体"/>
                <w:b w:val="0"/>
                <w:color w:val="000000"/>
                <w:sz w:val="19"/>
              </w:rPr>
              <w:t>保留语义内容，展示时做转义，限制长度</w:t>
            </w:r>
          </w:p>
        </w:tc>
        <w:tc>
          <w:tcPr>
            <w:tcW w:type="dxa" w:w="4082"/>
            <w:vAlign w:val="center"/>
          </w:tcPr>
          <w:p>
            <w:pPr>
              <w:keepNext w:val="0"/>
              <w:spacing w:after="0" w:before="0" w:line="276" w:lineRule="auto"/>
              <w:jc w:val="left"/>
            </w:pPr>
            <w:r>
              <w:rPr>
                <w:rFonts w:ascii="Arial" w:hAnsi="Arial" w:eastAsia="宋体"/>
                <w:b w:val="0"/>
                <w:color w:val="000000"/>
                <w:sz w:val="19"/>
              </w:rPr>
              <w:t>不执行来源中的HTML或指令</w:t>
            </w:r>
          </w:p>
        </w:tc>
      </w:tr>
      <w:tr>
        <w:trPr>
          <w:cantSplit/>
        </w:trPr>
        <w:tc>
          <w:tcPr>
            <w:tcW w:type="dxa" w:w="1701"/>
            <w:vAlign w:val="center"/>
          </w:tcPr>
          <w:p>
            <w:pPr>
              <w:keepNext w:val="0"/>
              <w:spacing w:after="0" w:before="0" w:line="276" w:lineRule="auto"/>
              <w:jc w:val="left"/>
            </w:pPr>
            <w:r>
              <w:rPr>
                <w:rFonts w:ascii="Arial" w:hAnsi="Arial" w:eastAsia="宋体"/>
                <w:b w:val="0"/>
                <w:color w:val="000000"/>
                <w:sz w:val="19"/>
              </w:rPr>
              <w:t>C10 关键词</w:t>
            </w:r>
          </w:p>
        </w:tc>
        <w:tc>
          <w:tcPr>
            <w:tcW w:type="dxa" w:w="3572"/>
            <w:vAlign w:val="center"/>
          </w:tcPr>
          <w:p>
            <w:pPr>
              <w:keepNext w:val="0"/>
              <w:spacing w:after="0" w:before="0" w:line="276" w:lineRule="auto"/>
              <w:jc w:val="left"/>
            </w:pPr>
            <w:r>
              <w:rPr>
                <w:rFonts w:ascii="Arial" w:hAnsi="Arial" w:eastAsia="宋体"/>
                <w:b w:val="0"/>
                <w:color w:val="000000"/>
                <w:sz w:val="19"/>
              </w:rPr>
              <w:t>一期仅接收来源明确提供的关键词数组；NFKC、大小写折叠、空白折叠、去空项及去重，保留原词和kw-v1版本</w:t>
            </w:r>
          </w:p>
        </w:tc>
        <w:tc>
          <w:tcPr>
            <w:tcW w:type="dxa" w:w="4082"/>
            <w:vAlign w:val="center"/>
          </w:tcPr>
          <w:p>
            <w:pPr>
              <w:keepNext w:val="0"/>
              <w:spacing w:after="0" w:before="0" w:line="276" w:lineRule="auto"/>
              <w:jc w:val="left"/>
            </w:pPr>
            <w:r>
              <w:rPr>
                <w:rFonts w:ascii="Arial" w:hAnsi="Arial" w:eastAsia="宋体"/>
                <w:b w:val="0"/>
                <w:color w:val="000000"/>
                <w:sz w:val="19"/>
              </w:rPr>
              <w:t>缺失保持空列表，不从题名自动生成，不把领域标签冒充关键词</w:t>
            </w:r>
          </w:p>
        </w:tc>
      </w:tr>
    </w:tbl>
    <w:p>
      <w:pPr>
        <w:spacing w:after="40" w:line="96" w:lineRule="auto"/>
      </w:pPr>
    </w:p>
    <w:p>
      <w:r>
        <w:rPr>
          <w:rFonts w:ascii="Arial" w:hAnsi="Arial" w:eastAsia="宋体"/>
          <w:b w:val="0"/>
          <w:color w:val="000000"/>
          <w:sz w:val="22"/>
        </w:rPr>
        <w:t>各类型主标识为：论文DOI；专利国家加公开号加文献种类；项目资助机构加批准号；获奖颁奖机构加年度加项目编号。不同类型绝不自动合并。source_record_key用于稳定身份，优先使用source加外部ID；无ID时，仅在适配器确认详情URL唯一且稳定后使用source加规范详情URL。URL仅移除片段和已登记的跟踪参数，保留可能影响记录身份的路径与查询参数。</w:t>
      </w:r>
    </w:p>
    <w:p>
      <w:r>
        <w:rPr>
          <w:rFonts w:ascii="Arial" w:hAnsi="Arial" w:eastAsia="宋体"/>
          <w:b w:val="0"/>
          <w:color w:val="000000"/>
          <w:sz w:val="22"/>
        </w:rPr>
        <w:t>内容版本单独保存payload_hash：对来源载荷按键排序序列化为UTF-8 JSON后计算SHA-256，不含抓取时间等本地元数据。同一稳定键且哈希相同计重复，键相同且哈希改变进入版本更新，保留旧值并遵守人工更正优先规则。无法确定稳定ID或稳定URL时隔离等待人工关联；内容哈希只能识别完全相同的重复载荷，不能把内容变化自动解释为旧记录更新。</w:t>
      </w:r>
    </w:p>
    <w:p>
      <w:pPr>
        <w:pStyle w:val="Heading2"/>
      </w:pPr>
      <w:r>
        <w:rPr>
          <w:rFonts w:ascii="Arial" w:hAnsi="Arial" w:eastAsia="微软雅黑"/>
          <w:b/>
          <w:color w:val="000000"/>
          <w:sz w:val="23"/>
        </w:rPr>
        <w:t>2 2 采集状态与恢复</w:t>
      </w:r>
    </w:p>
    <w:p>
      <w:r>
        <w:rPr>
          <w:rFonts w:ascii="Arial" w:hAnsi="Arial" w:eastAsia="宋体"/>
          <w:b w:val="0"/>
          <w:color w:val="000000"/>
          <w:sz w:val="22"/>
        </w:rPr>
        <w:t>任务状态严格使用待执行、运行中、成功、失败、重试、已停止。待执行由调度事件进入运行中。暂时性超时或5xx等且retry_count小于3时进入重试，计数加1后按延迟重新进入运行中；最多初次尝试加3次重试。默认退避为2秒、4秒、8秒并加小幅随机抖动；若来源Retry-After要求更长则服从来源。429超过本地重试预算时失败，保留明确原因。</w:t>
      </w:r>
    </w:p>
    <w:p>
      <w:r>
        <w:rPr>
          <w:rFonts w:ascii="Arial" w:hAnsi="Arial" w:eastAsia="宋体"/>
          <w:b w:val="0"/>
          <w:color w:val="000000"/>
          <w:sz w:val="22"/>
        </w:rPr>
        <w:t>授权失败、来源撤销许可、载荷结构无法解析等不可自动恢复错误直接进入失败。禁止因为HTTP 200就标记成功，必须验证响应类型和数据结构。全部页处理完成后进入成功；存在隔离记录仍可完成，但必须展示隔离数量和“需处理异常”的提示。</w:t>
      </w:r>
    </w:p>
    <w:p>
      <w:r>
        <w:rPr>
          <w:rFonts w:ascii="Arial" w:hAnsi="Arial" w:eastAsia="宋体"/>
          <w:b w:val="0"/>
          <w:color w:val="000000"/>
          <w:sz w:val="22"/>
        </w:rPr>
        <w:t>管理员可以停止待执行、运行中或重试任务。停止时递增任务版本或撤销租约，工作进程每个批次提交前检查状态；已停止之后到达的旧批次不得提交。已提交记录保留，重新采集创建新的任务ID并引用父任务与已提交游标。</w:t>
      </w:r>
    </w:p>
    <w:p>
      <w:pPr>
        <w:pStyle w:val="Heading2"/>
      </w:pPr>
      <w:r>
        <w:rPr>
          <w:rFonts w:ascii="Arial" w:hAnsi="Arial" w:eastAsia="微软雅黑"/>
          <w:b/>
          <w:color w:val="000000"/>
          <w:sz w:val="23"/>
        </w:rPr>
        <w:t>2 3 幂等计数与水位</w:t>
      </w:r>
    </w:p>
    <w:p>
      <w:r>
        <w:rPr>
          <w:rFonts w:ascii="Arial" w:hAnsi="Arial" w:eastAsia="宋体"/>
          <w:b w:val="0"/>
          <w:color w:val="000000"/>
          <w:sz w:val="22"/>
        </w:rPr>
        <w:t>每条已处理记录归入新增、更新、重复、隔离四类之一；已处理数等于四类计数之和。新增规范成果计新增；已有成果出现新有效信息或新来源映射计更新；内容与映射均不变计重复；不能安全确定身份或不满足入库条件计隔离。未处理及下载失败不计入已处理数。</w:t>
      </w:r>
    </w:p>
    <w:p>
      <w:r>
        <w:rPr>
          <w:rFonts w:ascii="Arial" w:hAnsi="Arial" w:eastAsia="宋体"/>
          <w:b w:val="0"/>
          <w:color w:val="000000"/>
          <w:sz w:val="22"/>
        </w:rPr>
        <w:t>处理一个批次时将规范数据、来源映射、计数和提交游标放入同一事务；索引待发布事件随事务保存。事务失败不得推进游标。支持来源更新时间时使用带重叠窗口的增量读取；不支持时采用范围分片重拉加幂等判断。具体窗口为适配器配置，不假定所有来源免费支持updated_date过滤。</w:t>
      </w:r>
    </w:p>
    <w:p>
      <w:pPr>
        <w:pStyle w:val="Heading2"/>
      </w:pPr>
      <w:r>
        <w:rPr>
          <w:rFonts w:ascii="Arial" w:hAnsi="Arial" w:eastAsia="微软雅黑"/>
          <w:b/>
          <w:color w:val="000000"/>
          <w:sz w:val="23"/>
        </w:rPr>
        <w:t>2 4 规则样例</w:t>
      </w:r>
    </w:p>
    <w:p>
      <w:r>
        <w:rPr>
          <w:rFonts w:ascii="Arial" w:hAnsi="Arial" w:eastAsia="宋体"/>
          <w:b w:val="0"/>
          <w:color w:val="000000"/>
          <w:sz w:val="22"/>
        </w:rPr>
        <w:t>输入题名“  Graph   Mining  ”应得到“Graph Mining”，原值不丢失；“ DOI:10.5555/EXAMPLE ”规范为“10.5555/example”，该标识仅是规则演示，不声称真实论文存在。空题名应隔离。一次处理10条，新增6、更新1、重复2、隔离1，则已处理为10，不能报告成功入库10条。</w:t>
      </w:r>
    </w:p>
    <w:p>
      <w:pPr>
        <w:pStyle w:val="Heading1"/>
      </w:pPr>
      <w:r>
        <w:rPr>
          <w:rFonts w:ascii="Arial" w:hAnsi="Arial" w:eastAsia="微软雅黑"/>
          <w:b/>
          <w:color w:val="000000"/>
          <w:sz w:val="28"/>
        </w:rPr>
        <w:t>3 SP02 成果去重与作者消歧</w:t>
      </w:r>
    </w:p>
    <w:p>
      <w:r>
        <w:rPr>
          <w:rFonts w:ascii="Arial" w:hAnsi="Arial" w:eastAsia="宋体"/>
          <w:b w:val="0"/>
          <w:color w:val="000000"/>
          <w:sz w:val="22"/>
        </w:rPr>
        <w:t>对应FR04、FR16与AT04、AT16。输入为已清洗记录和候选规范实体，输出为LINK_EXISTING、CREATE_NEW、REVIEW_REQUIRED之一，同时输出理由、候选、字段证据和规则版本。</w:t>
      </w:r>
    </w:p>
    <w:p>
      <w:pPr>
        <w:pStyle w:val="Heading2"/>
      </w:pPr>
      <w:r>
        <w:rPr>
          <w:rFonts w:ascii="Arial" w:hAnsi="Arial" w:eastAsia="微软雅黑"/>
          <w:b/>
          <w:color w:val="000000"/>
          <w:sz w:val="23"/>
        </w:rPr>
        <w:t>3 1 成果判定</w:t>
      </w:r>
    </w:p>
    <w:p>
      <w:r>
        <w:rPr>
          <w:rFonts w:ascii="Arial" w:hAnsi="Arial" w:eastAsia="宋体"/>
          <w:b w:val="0"/>
          <w:color w:val="000000"/>
          <w:sz w:val="22"/>
        </w:rPr>
        <w:t>第一步检查类型及主标识。可靠主标识相同且类型与元数据无实质冲突，关联已有成果并保留来源；主标识相同但题名或类型存在明显冲突，进入复核。双方存在不同可靠主标识时不自动合并，必要时标记可能的版本关系。</w:t>
      </w:r>
    </w:p>
    <w:p>
      <w:r>
        <w:rPr>
          <w:rFonts w:ascii="Arial" w:hAnsi="Arial" w:eastAsia="宋体"/>
          <w:b w:val="0"/>
          <w:color w:val="000000"/>
          <w:sz w:val="22"/>
        </w:rPr>
        <w:t>第二步处理无强标识记录。按类型、年份及题名前缀建立候选块；题名用NFKC、大小写折叠、标点转空白后提取字符二元组集合，长度不足2时以整串为唯一元素。Jaccard相似度J等于交集大小除以并集大小。只有J不低于0.90、年份相同且存在至少一个可靠关联作者时才生成高优先级复核候选，仍不自动合并；其余创建新成果并保留重复风险标志。缺年份或作者证据时降低候选信心，不人为补齐。</w:t>
      </w:r>
    </w:p>
    <w:p>
      <w:r>
        <w:rPr>
          <w:rFonts w:ascii="Arial" w:hAnsi="Arial" w:eastAsia="宋体"/>
          <w:b w:val="0"/>
          <w:color w:val="000000"/>
          <w:sz w:val="22"/>
        </w:rPr>
        <w:t>第三步人工复核。管理员同时查看原始字段、主标识、时间、来源与作者证据，选择合并、保留独立或建立版本关联。批量处理不得绕过逐项可追溯决定。</w:t>
      </w:r>
    </w:p>
    <w:p>
      <w:pPr>
        <w:pStyle w:val="Heading2"/>
      </w:pPr>
      <w:r>
        <w:rPr>
          <w:rFonts w:ascii="Arial" w:hAnsi="Arial" w:eastAsia="微软雅黑"/>
          <w:b/>
          <w:color w:val="000000"/>
          <w:sz w:val="23"/>
        </w:rPr>
        <w:t>3 2 作者消歧</w:t>
      </w:r>
    </w:p>
    <w:p>
      <w:r>
        <w:rPr>
          <w:rFonts w:ascii="Arial" w:hAnsi="Arial" w:eastAsia="宋体"/>
          <w:b w:val="0"/>
          <w:color w:val="000000"/>
          <w:sz w:val="22"/>
        </w:rPr>
        <w:t>优先使用来源内稳定作者ID维持连续性；来源映射也可能有错误，故可进入治理。可靠ORCID一致且其他信息无冲突时可作为跨来源同人强证据，两个不同的可靠ORCID为硬冲突。自行输入但未验证的ORCID只作线索。</w:t>
      </w:r>
    </w:p>
    <w:p>
      <w:r>
        <w:rPr>
          <w:rFonts w:ascii="Arial" w:hAnsi="Arial" w:eastAsia="宋体"/>
          <w:b w:val="0"/>
          <w:color w:val="000000"/>
          <w:sz w:val="22"/>
        </w:rPr>
        <w:t>缺少强标识时生成复核排序分数S＝0.40N＋0.25A＋0.20C＋0.15T。N为规范姓名一致指示；A为同一成果时间段中机构集合Jaccard；C为已确认合作者集合Jaccard；T为领域集合Jaccard。缺失的证据项计0并显示缺失，不重分配权重；两空集合不视为相同。S不低于0.85进入高优先级复核，0.60≤S&lt;0.85进入普通复核，低于0.60保持独立。任何软分数都不直接触发作者合并。</w:t>
      </w:r>
    </w:p>
    <w:p>
      <w:r>
        <w:rPr>
          <w:rFonts w:ascii="Arial" w:hAnsi="Arial" w:eastAsia="宋体"/>
          <w:b w:val="0"/>
          <w:color w:val="000000"/>
          <w:sz w:val="22"/>
        </w:rPr>
        <w:t>例如N＝1、A＝1、C＝0.5、T＝0.5，S＝0.825，进入普通复核；这不是82.5%的同人概率。仅同名时S＝0.40，保持独立。阈值需用经人工标注的同人和不同人样本校准。</w:t>
      </w:r>
    </w:p>
    <w:p>
      <w:pPr>
        <w:pStyle w:val="Heading2"/>
      </w:pPr>
      <w:r>
        <w:rPr>
          <w:rFonts w:ascii="Arial" w:hAnsi="Arial" w:eastAsia="微软雅黑"/>
          <w:b/>
          <w:color w:val="000000"/>
          <w:sz w:val="23"/>
        </w:rPr>
        <w:t>3 3 合并与拆分</w:t>
      </w:r>
    </w:p>
    <w:p>
      <w:r>
        <w:rPr>
          <w:rFonts w:ascii="Arial" w:hAnsi="Arial" w:eastAsia="宋体"/>
          <w:b w:val="0"/>
          <w:color w:val="000000"/>
          <w:sz w:val="22"/>
        </w:rPr>
        <w:t>保留每条来源记录，规范值优先使用已审定的人工更正；同一来源的新版本可更新旧自动值，跨来源矛盾送复核。合并建立旧ID到保留ID的重定向和操作版本；拆分按来源映射与署名关系重建实体，记录影响的门户、索引和统计快照。不能删除唯一原始证据来完成去重。</w:t>
      </w:r>
    </w:p>
    <w:p>
      <w:r>
        <w:rPr>
          <w:rFonts w:ascii="Arial" w:hAnsi="Arial" w:eastAsia="宋体"/>
          <w:b w:val="0"/>
          <w:color w:val="000000"/>
          <w:sz w:val="22"/>
        </w:rPr>
        <w:t>验收应包括同DOI、不同DOI同题名、同名不同ORCID、预印本与期刊版、缺年份、误合并拆分六类边界。真实标注集的规模、准确率与人工复核结果待实现阶段填写。</w:t>
      </w:r>
    </w:p>
    <w:p>
      <w:pPr>
        <w:pStyle w:val="Heading1"/>
      </w:pPr>
      <w:r>
        <w:rPr>
          <w:rFonts w:ascii="Arial" w:hAnsi="Arial" w:eastAsia="微软雅黑"/>
          <w:b/>
          <w:color w:val="000000"/>
          <w:sz w:val="28"/>
        </w:rPr>
        <w:t>4 SP03 检索与排序</w:t>
      </w:r>
    </w:p>
    <w:p>
      <w:r>
        <w:rPr>
          <w:rFonts w:ascii="Arial" w:hAnsi="Arial" w:eastAsia="宋体"/>
          <w:b w:val="0"/>
          <w:color w:val="000000"/>
          <w:sz w:val="22"/>
        </w:rPr>
        <w:t>对应FR06、FR07、FR08与AT06、AT07、AT08。输入为查询词、过滤条件、排序模式、页大小与游标；输出包括results、total、applied_filters、sort_explanation、snapshot_id、next_cursor。检索仅使用当前用户可读的已发布规范记录。</w:t>
      </w:r>
    </w:p>
    <w:p>
      <w:pPr>
        <w:pStyle w:val="Heading2"/>
      </w:pPr>
      <w:r>
        <w:rPr>
          <w:rFonts w:ascii="Arial" w:hAnsi="Arial" w:eastAsia="微软雅黑"/>
          <w:b/>
          <w:color w:val="000000"/>
          <w:sz w:val="23"/>
        </w:rPr>
        <w:t>4 1 查询语义</w:t>
      </w:r>
    </w:p>
    <w:p>
      <w:r>
        <w:rPr>
          <w:rFonts w:ascii="Arial" w:hAnsi="Arial" w:eastAsia="宋体"/>
          <w:b w:val="0"/>
          <w:color w:val="000000"/>
          <w:sz w:val="22"/>
        </w:rPr>
        <w:t>q最多200字符，执行NFKC、大小写折叠和空白标准化。按空白与标点切分为去重查询词；连续中文短语保留为一个子串，不宣称具备语义理解能力。完整DOI识别复用C04的处理顺序与校验，不把DOI中的标点先切词。除完整DOI或完整题名命中外，所有查询词必须分别在题名、关键词、作者显示名或发表渠道之一命中；各字段之间允许组合命中。</w:t>
      </w:r>
    </w:p>
    <w:p>
      <w:r>
        <w:rPr>
          <w:rFonts w:ascii="Arial" w:hAnsi="Arial" w:eastAsia="宋体"/>
          <w:b w:val="0"/>
          <w:color w:val="000000"/>
          <w:sz w:val="22"/>
        </w:rPr>
        <w:t>过滤先于排序。不同过滤维度用AND，同一维度多个值用OR；年份闭区间，未知年份不满足数值年份过滤。父领域包含后代领域，成果ID去重。无关键词时为浏览模式，按年份降序、成果ID升序，未知年份最后。</w:t>
      </w:r>
    </w:p>
    <w:p>
      <w:pPr>
        <w:pStyle w:val="Heading2"/>
      </w:pPr>
      <w:r>
        <w:rPr>
          <w:rFonts w:ascii="Arial" w:hAnsi="Arial" w:eastAsia="微软雅黑"/>
          <w:b/>
          <w:color w:val="000000"/>
          <w:sz w:val="23"/>
        </w:rPr>
        <w:t>4 2 确定性排序规则</w:t>
      </w:r>
    </w:p>
    <w:p>
      <w:r>
        <w:rPr>
          <w:rFonts w:ascii="Arial" w:hAnsi="Arial" w:eastAsia="宋体"/>
          <w:b w:val="0"/>
          <w:color w:val="000000"/>
          <w:sz w:val="22"/>
        </w:rPr>
        <w:t>默认相关性先比较命中等级：精确规范DOI为3，完整规范题名相等为2，其余满足全部词项的记录为1。相同等级再按R降序排序，R＝5Mt＋3Mk＋2Ma＋Mv，其中M是该字段命中的不同查询词数除以查询词总数，t为题名、k为关键词、a为作者、v为发表渠道。R相同按年份降序，再按平台成果ID升序；未知年份排最后。</w:t>
      </w:r>
    </w:p>
    <w:p>
      <w:r>
        <w:rPr>
          <w:rFonts w:ascii="Arial" w:hAnsi="Arial" w:eastAsia="宋体"/>
          <w:b w:val="0"/>
          <w:color w:val="000000"/>
          <w:sz w:val="22"/>
        </w:rPr>
        <w:t>不使用引用量作为默认加权，以免跨领域和年份差异影响本项目对“相关性”的解释。用户选择时间排序时，按年份降序、R降序、ID升序；无关键词的R定义为0。可替换为搜索引擎实现，但必须保持已确认的外部行为，改变排序逻辑需更新规则版本及验收样例。</w:t>
      </w:r>
    </w:p>
    <w:p>
      <w:r>
        <w:rPr>
          <w:rFonts w:ascii="Arial" w:hAnsi="Arial" w:eastAsia="宋体"/>
          <w:b w:val="0"/>
          <w:color w:val="000000"/>
          <w:sz w:val="22"/>
        </w:rPr>
        <w:t>例：查询有两个词，甲在题名命中2个、关键词命中1个，其他字段未命中，则R甲＝5×1＋3×0.5＝6.5。乙在题名命中1个、关键词命中2个，则R乙＝5×0.5＋3×1＝5.5；若命中等级相同则甲排前。精确DOI命中始终先于普通关键词结果。</w:t>
      </w:r>
    </w:p>
    <w:p>
      <w:pPr>
        <w:pStyle w:val="Heading2"/>
      </w:pPr>
      <w:r>
        <w:rPr>
          <w:rFonts w:ascii="Arial" w:hAnsi="Arial" w:eastAsia="微软雅黑"/>
          <w:b/>
          <w:color w:val="000000"/>
          <w:sz w:val="23"/>
        </w:rPr>
        <w:t>4 3 分页与显示</w:t>
      </w:r>
    </w:p>
    <w:p>
      <w:r>
        <w:rPr>
          <w:rFonts w:ascii="Arial" w:hAnsi="Arial" w:eastAsia="宋体"/>
          <w:b w:val="0"/>
          <w:color w:val="000000"/>
          <w:sz w:val="22"/>
        </w:rPr>
        <w:t>page_size默认20，最大50。首次请求生成与过滤和排序绑定的快照游标，后续页沿同一快照读取；游标有效期10分钟，过期返回410并提示重新检索，参数改变须重新开始。不能同时声称“快照分页”又用不断变化的实时offset实现。</w:t>
      </w:r>
    </w:p>
    <w:p>
      <w:r>
        <w:rPr>
          <w:rFonts w:ascii="Arial" w:hAnsi="Arial" w:eastAsia="宋体"/>
          <w:b w:val="0"/>
          <w:color w:val="000000"/>
          <w:sz w:val="22"/>
        </w:rPr>
        <w:t>详情页显示题名、类型、署名、机构、年份精度、领域、来源链接与更新时间。未知值显示“未知”或“暂无记录”，不显示成0；被治理下架的记录返回受控说明。公众不应看到认领证据、私密标识或治理备注。</w:t>
      </w:r>
    </w:p>
    <w:p>
      <w:pPr>
        <w:pStyle w:val="Heading2"/>
      </w:pPr>
      <w:r>
        <w:rPr>
          <w:rFonts w:ascii="Arial" w:hAnsi="Arial" w:eastAsia="微软雅黑"/>
          <w:b/>
          <w:color w:val="000000"/>
          <w:sz w:val="23"/>
        </w:rPr>
        <w:t>4 4 学者检索</w:t>
      </w:r>
    </w:p>
    <w:p>
      <w:r>
        <w:rPr>
          <w:rFonts w:ascii="Arial" w:hAnsi="Arial" w:eastAsia="宋体"/>
          <w:b w:val="0"/>
          <w:color w:val="000000"/>
          <w:sz w:val="22"/>
        </w:rPr>
        <w:t>查询对象必须明确选择成果或学者。学者模式只匹配公开姓名、经来源确认的别名和可靠ORCID，使用NFKC、大小写折叠和空白标准化；不自动翻译或推断拼音。普通姓名查询要求全部词项在同一个规范姓名或别名内命中，不能拼接两个人的字段。完整可靠ORCID精确命中等级4，规范显示姓名精确相等为3，完整别名相等为2，其余姓名词项全命中为1；同等级按平台学者ID升序。空查询按学者ID升序浏览。</w:t>
      </w:r>
    </w:p>
    <w:p>
      <w:r>
        <w:rPr>
          <w:rFonts w:ascii="Arial" w:hAnsi="Arial" w:eastAsia="宋体"/>
          <w:b w:val="0"/>
          <w:color w:val="000000"/>
          <w:sz w:val="22"/>
        </w:rPr>
        <w:t>机构、年份、领域和成果类型过滤在学者已确认关联的成果范围内联合生效：至少一项同一成果同时满足各维度，机构采用该成果发生时的署名机构。此含义在界面标为“成果署名机构”，不能解释成当前任职单位；未确认的作者关联不参与筛选。未加这些过滤时，无成果但有已发布门户的学者仍可返回。</w:t>
      </w:r>
    </w:p>
    <w:p>
      <w:r>
        <w:rPr>
          <w:rFonts w:ascii="Arial" w:hAnsi="Arial" w:eastAsia="宋体"/>
          <w:b w:val="0"/>
          <w:color w:val="000000"/>
          <w:sz w:val="22"/>
        </w:rPr>
        <w:t>每行返回平台学者ID、显示姓名、用于区分同名的来源署名机构及年份、最多2项当前过滤范围的代表成果、认领状态和门户链接；缺失项显示未知。不同学者ID始终分行，不按姓名合并结果。分页、快照和输入长度复用4.3的约定。验收AT06补例：两个独立学者均名为“张伟”，分别显示其机构、年份及不同门户；加机构条件仅返回在同一过滤成果范围内满足该机构的学者。</w:t>
      </w:r>
    </w:p>
    <w:p>
      <w:pPr>
        <w:pStyle w:val="Heading1"/>
      </w:pPr>
      <w:r>
        <w:rPr>
          <w:rFonts w:ascii="Arial" w:hAnsi="Arial" w:eastAsia="微软雅黑"/>
          <w:b/>
          <w:color w:val="000000"/>
          <w:sz w:val="28"/>
        </w:rPr>
        <w:t>5 SP04 认领审核与权限</w:t>
      </w:r>
    </w:p>
    <w:p>
      <w:r>
        <w:rPr>
          <w:rFonts w:ascii="Arial" w:hAnsi="Arial" w:eastAsia="宋体"/>
          <w:b w:val="0"/>
          <w:color w:val="000000"/>
          <w:sz w:val="22"/>
        </w:rPr>
        <w:t>对应FR01、FR09、FR10、FR11、FR15。申请输入至少含account_id、scholar_id、公开关联材料引用、受控验证结果引用和幂等键。证据不足可要求补充，前端不能自行把审核状态改为通过。</w:t>
      </w:r>
    </w:p>
    <w:p>
      <w:r>
        <w:rPr>
          <w:rFonts w:ascii="Arial" w:hAnsi="Arial" w:eastAsia="宋体"/>
          <w:b w:val="0"/>
          <w:color w:val="000000"/>
          <w:sz w:val="22"/>
        </w:rPr>
        <w:t>注册时检查用户名唯一及凭据格式，创建普通科研人员账号；管理员角色只能由授权管理流程赋予。登录验证凭据并建立会话，退出使会话失效。凭据使用适合密码存储的加盐哈希或受信身份服务，不保存明文；角色与门户对象权限始终在服务端检查。</w:t>
      </w:r>
    </w:p>
    <w:p>
      <w:pPr>
        <w:pStyle w:val="Heading2"/>
      </w:pPr>
      <w:r>
        <w:rPr>
          <w:rFonts w:ascii="Arial" w:hAnsi="Arial" w:eastAsia="微软雅黑"/>
          <w:b/>
          <w:color w:val="000000"/>
          <w:sz w:val="23"/>
        </w:rPr>
        <w:t>5 1 状态转换</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01"/>
        <w:gridCol w:w="2551"/>
        <w:gridCol w:w="2551"/>
        <w:gridCol w:w="2551"/>
      </w:tblGrid>
      <w:tr>
        <w:trPr>
          <w:cantSplit/>
          <w:tblHeader/>
        </w:trPr>
        <w:tc>
          <w:tcPr>
            <w:tcW w:type="dxa" w:w="1701"/>
            <w:vAlign w:val="center"/>
            <w:shd w:fill="E8EEF4"/>
          </w:tcPr>
          <w:p>
            <w:pPr>
              <w:keepNext/>
              <w:spacing w:after="0" w:before="0" w:line="276" w:lineRule="auto"/>
              <w:jc w:val="center"/>
            </w:pPr>
            <w:r>
              <w:rPr>
                <w:rFonts w:ascii="Arial" w:hAnsi="Arial" w:eastAsia="宋体"/>
                <w:b/>
                <w:color w:val="000000"/>
                <w:sz w:val="19"/>
              </w:rPr>
              <w:t>当前状态</w:t>
            </w:r>
          </w:p>
        </w:tc>
        <w:tc>
          <w:tcPr>
            <w:tcW w:type="dxa" w:w="2551"/>
            <w:vAlign w:val="center"/>
            <w:shd w:fill="E8EEF4"/>
          </w:tcPr>
          <w:p>
            <w:pPr>
              <w:keepNext/>
              <w:spacing w:after="0" w:before="0" w:line="276" w:lineRule="auto"/>
              <w:jc w:val="center"/>
            </w:pPr>
            <w:r>
              <w:rPr>
                <w:rFonts w:ascii="Arial" w:hAnsi="Arial" w:eastAsia="宋体"/>
                <w:b/>
                <w:color w:val="000000"/>
                <w:sz w:val="19"/>
              </w:rPr>
              <w:t>事件与守卫</w:t>
            </w:r>
          </w:p>
        </w:tc>
        <w:tc>
          <w:tcPr>
            <w:tcW w:type="dxa" w:w="2551"/>
            <w:vAlign w:val="center"/>
            <w:shd w:fill="E8EEF4"/>
          </w:tcPr>
          <w:p>
            <w:pPr>
              <w:keepNext/>
              <w:spacing w:after="0" w:before="0" w:line="276" w:lineRule="auto"/>
              <w:jc w:val="center"/>
            </w:pPr>
            <w:r>
              <w:rPr>
                <w:rFonts w:ascii="Arial" w:hAnsi="Arial" w:eastAsia="宋体"/>
                <w:b/>
                <w:color w:val="000000"/>
                <w:sz w:val="19"/>
              </w:rPr>
              <w:t>目标状态</w:t>
            </w:r>
          </w:p>
        </w:tc>
        <w:tc>
          <w:tcPr>
            <w:tcW w:type="dxa" w:w="2551"/>
            <w:vAlign w:val="center"/>
            <w:shd w:fill="E8EEF4"/>
          </w:tcPr>
          <w:p>
            <w:pPr>
              <w:keepNext/>
              <w:spacing w:after="0" w:before="0" w:line="276" w:lineRule="auto"/>
              <w:jc w:val="center"/>
            </w:pPr>
            <w:r>
              <w:rPr>
                <w:rFonts w:ascii="Arial" w:hAnsi="Arial" w:eastAsia="宋体"/>
                <w:b/>
                <w:color w:val="000000"/>
                <w:sz w:val="19"/>
              </w:rPr>
              <w:t>必须执行的动作</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已提交</w:t>
            </w:r>
          </w:p>
        </w:tc>
        <w:tc>
          <w:tcPr>
            <w:tcW w:type="dxa" w:w="2551"/>
            <w:vAlign w:val="center"/>
          </w:tcPr>
          <w:p>
            <w:pPr>
              <w:keepNext w:val="0"/>
              <w:spacing w:after="0" w:before="0" w:line="276" w:lineRule="auto"/>
              <w:jc w:val="center"/>
            </w:pPr>
            <w:r>
              <w:rPr>
                <w:rFonts w:ascii="Arial" w:hAnsi="Arial" w:eastAsia="宋体"/>
                <w:b w:val="0"/>
                <w:color w:val="000000"/>
                <w:sz w:val="19"/>
              </w:rPr>
              <w:t>系统开始验证</w:t>
            </w:r>
          </w:p>
        </w:tc>
        <w:tc>
          <w:tcPr>
            <w:tcW w:type="dxa" w:w="2551"/>
            <w:vAlign w:val="center"/>
          </w:tcPr>
          <w:p>
            <w:pPr>
              <w:keepNext w:val="0"/>
              <w:spacing w:after="0" w:before="0" w:line="276" w:lineRule="auto"/>
              <w:jc w:val="center"/>
            </w:pPr>
            <w:r>
              <w:rPr>
                <w:rFonts w:ascii="Arial" w:hAnsi="Arial" w:eastAsia="宋体"/>
                <w:b w:val="0"/>
                <w:color w:val="000000"/>
                <w:sz w:val="19"/>
              </w:rPr>
              <w:t>验证中</w:t>
            </w:r>
          </w:p>
        </w:tc>
        <w:tc>
          <w:tcPr>
            <w:tcW w:type="dxa" w:w="2551"/>
            <w:vAlign w:val="center"/>
          </w:tcPr>
          <w:p>
            <w:pPr>
              <w:keepNext w:val="0"/>
              <w:spacing w:after="0" w:before="0" w:line="276" w:lineRule="auto"/>
              <w:jc w:val="center"/>
            </w:pPr>
            <w:r>
              <w:rPr>
                <w:rFonts w:ascii="Arial" w:hAnsi="Arial" w:eastAsia="宋体"/>
                <w:b w:val="0"/>
                <w:color w:val="000000"/>
                <w:sz w:val="19"/>
              </w:rPr>
              <w:t>保存验证任务与版本</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验证中</w:t>
            </w:r>
          </w:p>
        </w:tc>
        <w:tc>
          <w:tcPr>
            <w:tcW w:type="dxa" w:w="2551"/>
            <w:vAlign w:val="center"/>
          </w:tcPr>
          <w:p>
            <w:pPr>
              <w:keepNext w:val="0"/>
              <w:spacing w:after="0" w:before="0" w:line="276" w:lineRule="auto"/>
              <w:jc w:val="left"/>
            </w:pPr>
            <w:r>
              <w:rPr>
                <w:rFonts w:ascii="Arial" w:hAnsi="Arial" w:eastAsia="宋体"/>
                <w:b w:val="0"/>
                <w:color w:val="000000"/>
                <w:sz w:val="19"/>
              </w:rPr>
              <w:t>最小证据完整且控制验证通过</w:t>
            </w:r>
          </w:p>
        </w:tc>
        <w:tc>
          <w:tcPr>
            <w:tcW w:type="dxa" w:w="2551"/>
            <w:vAlign w:val="center"/>
          </w:tcPr>
          <w:p>
            <w:pPr>
              <w:keepNext w:val="0"/>
              <w:spacing w:after="0" w:before="0" w:line="276" w:lineRule="auto"/>
              <w:jc w:val="center"/>
            </w:pPr>
            <w:r>
              <w:rPr>
                <w:rFonts w:ascii="Arial" w:hAnsi="Arial" w:eastAsia="宋体"/>
                <w:b w:val="0"/>
                <w:color w:val="000000"/>
                <w:sz w:val="19"/>
              </w:rPr>
              <w:t>待审核</w:t>
            </w:r>
          </w:p>
        </w:tc>
        <w:tc>
          <w:tcPr>
            <w:tcW w:type="dxa" w:w="2551"/>
            <w:vAlign w:val="center"/>
          </w:tcPr>
          <w:p>
            <w:pPr>
              <w:keepNext w:val="0"/>
              <w:spacing w:after="0" w:before="0" w:line="276" w:lineRule="auto"/>
              <w:jc w:val="center"/>
            </w:pPr>
            <w:r>
              <w:rPr>
                <w:rFonts w:ascii="Arial" w:hAnsi="Arial" w:eastAsia="宋体"/>
                <w:b w:val="0"/>
                <w:color w:val="000000"/>
                <w:sz w:val="19"/>
              </w:rPr>
              <w:t>保存验证摘要</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验证中</w:t>
            </w:r>
          </w:p>
        </w:tc>
        <w:tc>
          <w:tcPr>
            <w:tcW w:type="dxa" w:w="2551"/>
            <w:vAlign w:val="center"/>
          </w:tcPr>
          <w:p>
            <w:pPr>
              <w:keepNext w:val="0"/>
              <w:spacing w:after="0" w:before="0" w:line="276" w:lineRule="auto"/>
              <w:jc w:val="center"/>
            </w:pPr>
            <w:r>
              <w:rPr>
                <w:rFonts w:ascii="Arial" w:hAnsi="Arial" w:eastAsia="宋体"/>
                <w:b w:val="0"/>
                <w:color w:val="000000"/>
                <w:sz w:val="19"/>
              </w:rPr>
              <w:t>证据不足或可补正</w:t>
            </w:r>
          </w:p>
        </w:tc>
        <w:tc>
          <w:tcPr>
            <w:tcW w:type="dxa" w:w="2551"/>
            <w:vAlign w:val="center"/>
          </w:tcPr>
          <w:p>
            <w:pPr>
              <w:keepNext w:val="0"/>
              <w:spacing w:after="0" w:before="0" w:line="276" w:lineRule="auto"/>
              <w:jc w:val="center"/>
            </w:pPr>
            <w:r>
              <w:rPr>
                <w:rFonts w:ascii="Arial" w:hAnsi="Arial" w:eastAsia="宋体"/>
                <w:b w:val="0"/>
                <w:color w:val="000000"/>
                <w:sz w:val="19"/>
              </w:rPr>
              <w:t>待补充</w:t>
            </w:r>
          </w:p>
        </w:tc>
        <w:tc>
          <w:tcPr>
            <w:tcW w:type="dxa" w:w="2551"/>
            <w:vAlign w:val="center"/>
          </w:tcPr>
          <w:p>
            <w:pPr>
              <w:keepNext w:val="0"/>
              <w:spacing w:after="0" w:before="0" w:line="276" w:lineRule="auto"/>
              <w:jc w:val="center"/>
            </w:pPr>
            <w:r>
              <w:rPr>
                <w:rFonts w:ascii="Arial" w:hAnsi="Arial" w:eastAsia="宋体"/>
                <w:b w:val="0"/>
                <w:color w:val="000000"/>
                <w:sz w:val="19"/>
              </w:rPr>
              <w:t>给出需要补充的项目</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待补充</w:t>
            </w:r>
          </w:p>
        </w:tc>
        <w:tc>
          <w:tcPr>
            <w:tcW w:type="dxa" w:w="2551"/>
            <w:vAlign w:val="center"/>
          </w:tcPr>
          <w:p>
            <w:pPr>
              <w:keepNext w:val="0"/>
              <w:spacing w:after="0" w:before="0" w:line="276" w:lineRule="auto"/>
              <w:jc w:val="center"/>
            </w:pPr>
            <w:r>
              <w:rPr>
                <w:rFonts w:ascii="Arial" w:hAnsi="Arial" w:eastAsia="宋体"/>
                <w:b w:val="0"/>
                <w:color w:val="000000"/>
                <w:sz w:val="19"/>
              </w:rPr>
              <w:t>申请人提交补充</w:t>
            </w:r>
          </w:p>
        </w:tc>
        <w:tc>
          <w:tcPr>
            <w:tcW w:type="dxa" w:w="2551"/>
            <w:vAlign w:val="center"/>
          </w:tcPr>
          <w:p>
            <w:pPr>
              <w:keepNext w:val="0"/>
              <w:spacing w:after="0" w:before="0" w:line="276" w:lineRule="auto"/>
              <w:jc w:val="center"/>
            </w:pPr>
            <w:r>
              <w:rPr>
                <w:rFonts w:ascii="Arial" w:hAnsi="Arial" w:eastAsia="宋体"/>
                <w:b w:val="0"/>
                <w:color w:val="000000"/>
                <w:sz w:val="19"/>
              </w:rPr>
              <w:t>验证中</w:t>
            </w:r>
          </w:p>
        </w:tc>
        <w:tc>
          <w:tcPr>
            <w:tcW w:type="dxa" w:w="2551"/>
            <w:vAlign w:val="center"/>
          </w:tcPr>
          <w:p>
            <w:pPr>
              <w:keepNext w:val="0"/>
              <w:spacing w:after="0" w:before="0" w:line="276" w:lineRule="auto"/>
              <w:jc w:val="center"/>
            </w:pPr>
            <w:r>
              <w:rPr>
                <w:rFonts w:ascii="Arial" w:hAnsi="Arial" w:eastAsia="宋体"/>
                <w:b w:val="0"/>
                <w:color w:val="000000"/>
                <w:sz w:val="19"/>
              </w:rPr>
              <w:t>新证据版本不覆盖旧引用</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待审核</w:t>
            </w:r>
          </w:p>
        </w:tc>
        <w:tc>
          <w:tcPr>
            <w:tcW w:type="dxa" w:w="2551"/>
            <w:vAlign w:val="center"/>
          </w:tcPr>
          <w:p>
            <w:pPr>
              <w:keepNext w:val="0"/>
              <w:spacing w:after="0" w:before="0" w:line="276" w:lineRule="auto"/>
              <w:jc w:val="center"/>
            </w:pPr>
            <w:r>
              <w:rPr>
                <w:rFonts w:ascii="Arial" w:hAnsi="Arial" w:eastAsia="宋体"/>
                <w:b w:val="0"/>
                <w:color w:val="000000"/>
                <w:sz w:val="19"/>
              </w:rPr>
              <w:t>管理员要求补充</w:t>
            </w:r>
          </w:p>
        </w:tc>
        <w:tc>
          <w:tcPr>
            <w:tcW w:type="dxa" w:w="2551"/>
            <w:vAlign w:val="center"/>
          </w:tcPr>
          <w:p>
            <w:pPr>
              <w:keepNext w:val="0"/>
              <w:spacing w:after="0" w:before="0" w:line="276" w:lineRule="auto"/>
              <w:jc w:val="center"/>
            </w:pPr>
            <w:r>
              <w:rPr>
                <w:rFonts w:ascii="Arial" w:hAnsi="Arial" w:eastAsia="宋体"/>
                <w:b w:val="0"/>
                <w:color w:val="000000"/>
                <w:sz w:val="19"/>
              </w:rPr>
              <w:t>待补充</w:t>
            </w:r>
          </w:p>
        </w:tc>
        <w:tc>
          <w:tcPr>
            <w:tcW w:type="dxa" w:w="2551"/>
            <w:vAlign w:val="center"/>
          </w:tcPr>
          <w:p>
            <w:pPr>
              <w:keepNext w:val="0"/>
              <w:spacing w:after="0" w:before="0" w:line="276" w:lineRule="auto"/>
              <w:jc w:val="center"/>
            </w:pPr>
            <w:r>
              <w:rPr>
                <w:rFonts w:ascii="Arial" w:hAnsi="Arial" w:eastAsia="宋体"/>
                <w:b w:val="0"/>
                <w:color w:val="000000"/>
                <w:sz w:val="19"/>
              </w:rPr>
              <w:t>记录原因</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待审核</w:t>
            </w:r>
          </w:p>
        </w:tc>
        <w:tc>
          <w:tcPr>
            <w:tcW w:type="dxa" w:w="2551"/>
            <w:vAlign w:val="center"/>
          </w:tcPr>
          <w:p>
            <w:pPr>
              <w:keepNext w:val="0"/>
              <w:spacing w:after="0" w:before="0" w:line="276" w:lineRule="auto"/>
              <w:jc w:val="left"/>
            </w:pPr>
            <w:r>
              <w:rPr>
                <w:rFonts w:ascii="Arial" w:hAnsi="Arial" w:eastAsia="宋体"/>
                <w:b w:val="0"/>
                <w:color w:val="000000"/>
                <w:sz w:val="19"/>
              </w:rPr>
              <w:t>通过且门户空闲且版本匹配</w:t>
            </w:r>
          </w:p>
        </w:tc>
        <w:tc>
          <w:tcPr>
            <w:tcW w:type="dxa" w:w="2551"/>
            <w:vAlign w:val="center"/>
          </w:tcPr>
          <w:p>
            <w:pPr>
              <w:keepNext w:val="0"/>
              <w:spacing w:after="0" w:before="0" w:line="276" w:lineRule="auto"/>
              <w:jc w:val="center"/>
            </w:pPr>
            <w:r>
              <w:rPr>
                <w:rFonts w:ascii="Arial" w:hAnsi="Arial" w:eastAsia="宋体"/>
                <w:b w:val="0"/>
                <w:color w:val="000000"/>
                <w:sz w:val="19"/>
              </w:rPr>
              <w:t>已通过</w:t>
            </w:r>
          </w:p>
        </w:tc>
        <w:tc>
          <w:tcPr>
            <w:tcW w:type="dxa" w:w="2551"/>
            <w:vAlign w:val="center"/>
          </w:tcPr>
          <w:p>
            <w:pPr>
              <w:keepNext w:val="0"/>
              <w:spacing w:after="0" w:before="0" w:line="276" w:lineRule="auto"/>
              <w:jc w:val="center"/>
            </w:pPr>
            <w:r>
              <w:rPr>
                <w:rFonts w:ascii="Arial" w:hAnsi="Arial" w:eastAsia="宋体"/>
                <w:b w:val="0"/>
                <w:color w:val="000000"/>
                <w:sz w:val="19"/>
              </w:rPr>
              <w:t>同事务建立所有者绑定</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待审核</w:t>
            </w:r>
          </w:p>
        </w:tc>
        <w:tc>
          <w:tcPr>
            <w:tcW w:type="dxa" w:w="2551"/>
            <w:vAlign w:val="center"/>
          </w:tcPr>
          <w:p>
            <w:pPr>
              <w:keepNext w:val="0"/>
              <w:spacing w:after="0" w:before="0" w:line="276" w:lineRule="auto"/>
              <w:jc w:val="center"/>
            </w:pPr>
            <w:r>
              <w:rPr>
                <w:rFonts w:ascii="Arial" w:hAnsi="Arial" w:eastAsia="宋体"/>
                <w:b w:val="0"/>
                <w:color w:val="000000"/>
                <w:sz w:val="19"/>
              </w:rPr>
              <w:t>管理员驳回或绑定冲突</w:t>
            </w:r>
          </w:p>
        </w:tc>
        <w:tc>
          <w:tcPr>
            <w:tcW w:type="dxa" w:w="2551"/>
            <w:vAlign w:val="center"/>
          </w:tcPr>
          <w:p>
            <w:pPr>
              <w:keepNext w:val="0"/>
              <w:spacing w:after="0" w:before="0" w:line="276" w:lineRule="auto"/>
              <w:jc w:val="center"/>
            </w:pPr>
            <w:r>
              <w:rPr>
                <w:rFonts w:ascii="Arial" w:hAnsi="Arial" w:eastAsia="宋体"/>
                <w:b w:val="0"/>
                <w:color w:val="000000"/>
                <w:sz w:val="19"/>
              </w:rPr>
              <w:t>已驳回</w:t>
            </w:r>
          </w:p>
        </w:tc>
        <w:tc>
          <w:tcPr>
            <w:tcW w:type="dxa" w:w="2551"/>
            <w:vAlign w:val="center"/>
          </w:tcPr>
          <w:p>
            <w:pPr>
              <w:keepNext w:val="0"/>
              <w:spacing w:after="0" w:before="0" w:line="276" w:lineRule="auto"/>
              <w:jc w:val="left"/>
            </w:pPr>
            <w:r>
              <w:rPr>
                <w:rFonts w:ascii="Arial" w:hAnsi="Arial" w:eastAsia="宋体"/>
                <w:b w:val="0"/>
                <w:color w:val="000000"/>
                <w:sz w:val="19"/>
              </w:rPr>
              <w:t>记录原因，绑定冲突使用明确码</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任一未决状态</w:t>
            </w:r>
          </w:p>
        </w:tc>
        <w:tc>
          <w:tcPr>
            <w:tcW w:type="dxa" w:w="2551"/>
            <w:vAlign w:val="center"/>
          </w:tcPr>
          <w:p>
            <w:pPr>
              <w:keepNext w:val="0"/>
              <w:spacing w:after="0" w:before="0" w:line="276" w:lineRule="auto"/>
              <w:jc w:val="center"/>
            </w:pPr>
            <w:r>
              <w:rPr>
                <w:rFonts w:ascii="Arial" w:hAnsi="Arial" w:eastAsia="宋体"/>
                <w:b w:val="0"/>
                <w:color w:val="000000"/>
                <w:sz w:val="19"/>
              </w:rPr>
              <w:t>申请人撤回且版本匹配</w:t>
            </w:r>
          </w:p>
        </w:tc>
        <w:tc>
          <w:tcPr>
            <w:tcW w:type="dxa" w:w="2551"/>
            <w:vAlign w:val="center"/>
          </w:tcPr>
          <w:p>
            <w:pPr>
              <w:keepNext w:val="0"/>
              <w:spacing w:after="0" w:before="0" w:line="276" w:lineRule="auto"/>
              <w:jc w:val="center"/>
            </w:pPr>
            <w:r>
              <w:rPr>
                <w:rFonts w:ascii="Arial" w:hAnsi="Arial" w:eastAsia="宋体"/>
                <w:b w:val="0"/>
                <w:color w:val="000000"/>
                <w:sz w:val="19"/>
              </w:rPr>
              <w:t>已撤回</w:t>
            </w:r>
          </w:p>
        </w:tc>
        <w:tc>
          <w:tcPr>
            <w:tcW w:type="dxa" w:w="2551"/>
            <w:vAlign w:val="center"/>
          </w:tcPr>
          <w:p>
            <w:pPr>
              <w:keepNext w:val="0"/>
              <w:spacing w:after="0" w:before="0" w:line="276" w:lineRule="auto"/>
              <w:jc w:val="center"/>
            </w:pPr>
            <w:r>
              <w:rPr>
                <w:rFonts w:ascii="Arial" w:hAnsi="Arial" w:eastAsia="宋体"/>
                <w:b w:val="0"/>
                <w:color w:val="000000"/>
                <w:sz w:val="19"/>
              </w:rPr>
              <w:t>使迟到验证或审核失效</w:t>
            </w:r>
          </w:p>
        </w:tc>
      </w:tr>
    </w:tbl>
    <w:p>
      <w:pPr>
        <w:spacing w:after="40" w:line="96" w:lineRule="auto"/>
      </w:pPr>
    </w:p>
    <w:p>
      <w:r>
        <w:rPr>
          <w:rFonts w:ascii="Arial" w:hAnsi="Arial" w:eastAsia="宋体"/>
          <w:b w:val="0"/>
          <w:color w:val="000000"/>
          <w:sz w:val="22"/>
        </w:rPr>
        <w:t>未决状态指已提交、验证中、待补充、待审核。已通过、已驳回、已撤回为本申请终态；驳回后再次申请使用新ID。不存在“绕过验证直接通过”的转换。</w:t>
      </w:r>
    </w:p>
    <w:p>
      <w:pPr>
        <w:pStyle w:val="Heading2"/>
      </w:pPr>
      <w:r>
        <w:rPr>
          <w:rFonts w:ascii="Arial" w:hAnsi="Arial" w:eastAsia="微软雅黑"/>
          <w:b/>
          <w:color w:val="000000"/>
          <w:sz w:val="23"/>
        </w:rPr>
        <w:t>5 2 防冒领与并发</w:t>
      </w:r>
    </w:p>
    <w:p>
      <w:r>
        <w:rPr>
          <w:rFonts w:ascii="Arial" w:hAnsi="Arial" w:eastAsia="宋体"/>
          <w:b w:val="0"/>
          <w:color w:val="000000"/>
          <w:sz w:val="22"/>
        </w:rPr>
        <w:t>建议最小证据为对机构邮箱等渠道的控制验证，加公开机构主页或可信来源中的学术关联；替代渠道由管理员记录理由。邮箱域名相同只说明组织线索，不独立证明为目标学者。平台不要求上传身份证照片。管理员不能自审。</w:t>
      </w:r>
    </w:p>
    <w:p>
      <w:r>
        <w:rPr>
          <w:rFonts w:ascii="Arial" w:hAnsi="Arial" w:eastAsia="宋体"/>
          <w:b w:val="0"/>
          <w:color w:val="000000"/>
          <w:sz w:val="22"/>
        </w:rPr>
        <w:t>决定操作在事务中锁定门户所有权，并校验申请status与expected_version；只有满足守卫才更新申请和绑定。唯一约束保证scholar_id的有效所有者最多一个。若另一个账号已抢先获批，当前申请原子地转为已驳回并记录PORTAL_ALREADY_CLAIMED；若只是请求版本陈旧则返回409，不改状态。重复相同幂等请求返回原结果。</w:t>
      </w:r>
    </w:p>
    <w:p>
      <w:pPr>
        <w:pStyle w:val="Heading2"/>
      </w:pPr>
      <w:r>
        <w:rPr>
          <w:rFonts w:ascii="Arial" w:hAnsi="Arial" w:eastAsia="微软雅黑"/>
          <w:b/>
          <w:color w:val="000000"/>
          <w:sz w:val="23"/>
        </w:rPr>
        <w:t>5 3 成果维护与留痕</w:t>
      </w:r>
    </w:p>
    <w:p>
      <w:r>
        <w:rPr>
          <w:rFonts w:ascii="Arial" w:hAnsi="Arial" w:eastAsia="宋体"/>
          <w:b w:val="0"/>
          <w:color w:val="000000"/>
          <w:sz w:val="22"/>
        </w:rPr>
        <w:t>已认领科研人员可以编辑本人简介、领域展示及成果排序；新增成果须带来源并经基础校验。影响共享数据的作者、机构或主标识变更只能作为更正申请，由管理员复核。认领、审核、合并拆分、来源修改及权限变更均记录操作者、时间、目标、理由、前后版本和request_id。</w:t>
      </w:r>
    </w:p>
    <w:p>
      <w:pPr>
        <w:pStyle w:val="Heading1"/>
      </w:pPr>
      <w:r>
        <w:rPr>
          <w:rFonts w:ascii="Arial" w:hAnsi="Arial" w:eastAsia="微软雅黑"/>
          <w:b/>
          <w:color w:val="000000"/>
          <w:sz w:val="28"/>
        </w:rPr>
        <w:t>6 SP05 统计与合作路径</w:t>
      </w:r>
    </w:p>
    <w:p>
      <w:r>
        <w:rPr>
          <w:rFonts w:ascii="Arial" w:hAnsi="Arial" w:eastAsia="宋体"/>
          <w:b w:val="0"/>
          <w:color w:val="000000"/>
          <w:sz w:val="22"/>
        </w:rPr>
        <w:t>对应FR12、FR13与AT12、AT13。输入为已发布规范数据快照与过滤条件；默认范围为当前演示库全部已发布记录，界面必须标记其中真实和模拟的数量，并提供分别过滤。</w:t>
      </w:r>
    </w:p>
    <w:p>
      <w:pPr>
        <w:pStyle w:val="Heading2"/>
      </w:pPr>
      <w:r>
        <w:rPr>
          <w:rFonts w:ascii="Arial" w:hAnsi="Arial" w:eastAsia="微软雅黑"/>
          <w:b/>
          <w:color w:val="000000"/>
          <w:sz w:val="23"/>
        </w:rPr>
        <w:t>6 1 计数与趋势</w:t>
      </w:r>
    </w:p>
    <w:p>
      <w:r>
        <w:rPr>
          <w:rFonts w:ascii="Arial" w:hAnsi="Arial" w:eastAsia="宋体"/>
          <w:b w:val="0"/>
          <w:color w:val="000000"/>
          <w:sz w:val="22"/>
        </w:rPr>
        <w:t>机构成果数量按成果发生时的机构集合全计数，每机构对同一成果最多计1，平台总量按成果ID去重。领域父节点统计对所有后代成果做并集后计数。论文、专利、项目、获奖分别排名，避免直接相加成“学术实力”。</w:t>
      </w:r>
    </w:p>
    <w:p>
      <w:r>
        <w:rPr>
          <w:rFonts w:ascii="Arial" w:hAnsi="Arial" w:eastAsia="宋体"/>
          <w:b w:val="0"/>
          <w:color w:val="000000"/>
          <w:sz w:val="22"/>
        </w:rPr>
        <w:t>关键词热度采用某年包含该规范关键词的不同成果数；同一成果内重复词只计1，并保留词表版本。关键词覆盖率等于含有效关键词的成果数除以当前过滤范围的全部成果数，缺失关键词的成果仍计入分母；分母为0时显示“无数据”。页面给出总成果数、含关键词成果数及本库范围；不做未经验证的未来热点预测。</w:t>
      </w:r>
    </w:p>
    <w:p>
      <w:pPr>
        <w:pStyle w:val="Heading2"/>
      </w:pPr>
      <w:r>
        <w:rPr>
          <w:rFonts w:ascii="Arial" w:hAnsi="Arial" w:eastAsia="微软雅黑"/>
          <w:b/>
          <w:color w:val="000000"/>
          <w:sz w:val="23"/>
        </w:rPr>
        <w:t>6 2 合作网络与创新边界</w:t>
      </w:r>
    </w:p>
    <w:p>
      <w:r>
        <w:rPr>
          <w:rFonts w:ascii="Arial" w:hAnsi="Arial" w:eastAsia="宋体"/>
          <w:b w:val="0"/>
          <w:color w:val="000000"/>
          <w:sz w:val="22"/>
        </w:rPr>
        <w:t>基础网络采用已确认的论文作者为节点，任意两位不同作者共同署名一篇论文形成无向边；边权为给定过滤范围内不同合著论文数。专利、项目、获奖不混入论文合著边，未来可另建关系类型。</w:t>
      </w:r>
    </w:p>
    <w:p>
      <w:r>
        <w:rPr>
          <w:rFonts w:ascii="Arial" w:hAnsi="Arial" w:eastAsia="宋体"/>
          <w:b w:val="0"/>
          <w:color w:val="000000"/>
          <w:sz w:val="22"/>
        </w:rPr>
        <w:t>创新功能支持年份、领域、机构过滤，显示可交互的子图、两位学者的最短合作路径及每条边对应的成果证据。先按论文年份和领域选边，再按选定年份内论文署名机构筛节点，取诱导子图。机构筛选后的无路径只表明当前范围内未发现路径。</w:t>
      </w:r>
    </w:p>
    <w:p>
      <w:r>
        <w:rPr>
          <w:rFonts w:ascii="Arial" w:hAnsi="Arial" w:eastAsia="宋体"/>
          <w:b w:val="0"/>
          <w:color w:val="000000"/>
          <w:sz w:val="22"/>
        </w:rPr>
        <w:t>路径使用无权BFS，最短指跳数最少；多条同长路径按学者ID升序选出一条。若另需“最强合作路径”，必须另行定义，不把边权直接当距离。路径在所选完整过滤子图上计算，展示最多200节点；过滤子图超过5000节点时要求收窄范围，不静默截断后给出全局最短结论。</w:t>
      </w:r>
    </w:p>
    <w:p>
      <w:pPr>
        <w:pStyle w:val="Heading2"/>
      </w:pPr>
      <w:r>
        <w:rPr>
          <w:rFonts w:ascii="Arial" w:hAnsi="Arial" w:eastAsia="微软雅黑"/>
          <w:b/>
          <w:color w:val="000000"/>
          <w:sz w:val="23"/>
        </w:rPr>
        <w:t>6 3 规则样例</w:t>
      </w:r>
    </w:p>
    <w:p>
      <w:r>
        <w:rPr>
          <w:rFonts w:ascii="Arial" w:hAnsi="Arial" w:eastAsia="宋体"/>
          <w:b w:val="0"/>
          <w:color w:val="000000"/>
          <w:sz w:val="22"/>
        </w:rPr>
        <w:t>P1作者A、B，P2作者B、C，均满足过滤且为两个不同论文，则A—B、B—C边权各1，A到C的最短路径是A、B、C，共2跳；添加同一P1的重复来源不增加边权。过滤移除P2后A到C返回当前范围无路径。</w:t>
      </w:r>
    </w:p>
    <w:p>
      <w:r>
        <w:rPr>
          <w:rFonts w:ascii="Arial" w:hAnsi="Arial" w:eastAsia="宋体"/>
          <w:b w:val="0"/>
          <w:color w:val="000000"/>
          <w:sz w:val="22"/>
        </w:rPr>
        <w:t>P1属于机构X和Y，P2只属于X，则X计2、Y计1，全站计2；总量不写成3。若P1同时关联软件工程和数据管理，在父领域计算机科学中只计1次。</w:t>
      </w:r>
    </w:p>
    <w:p>
      <w:pPr>
        <w:pStyle w:val="Heading1"/>
      </w:pPr>
      <w:r>
        <w:rPr>
          <w:rFonts w:ascii="Arial" w:hAnsi="Arial" w:eastAsia="微软雅黑"/>
          <w:b/>
          <w:color w:val="000000"/>
          <w:sz w:val="28"/>
        </w:rPr>
        <w:t>7 开发与验证约定</w:t>
      </w:r>
    </w:p>
    <w:p>
      <w:r>
        <w:rPr>
          <w:rFonts w:ascii="Arial" w:hAnsi="Arial" w:eastAsia="宋体"/>
          <w:b w:val="0"/>
          <w:color w:val="000000"/>
          <w:sz w:val="22"/>
        </w:rPr>
        <w:t>核心实现前先提交对应SP编号规范；Agent输入只引用当前版本的SRS、SPEC与相关模型。外部论文题名、网页或注释一律当作数据，不能修改开发约束。提示词应明确字段、边界、错误码及验收场景，避免让模型自行猜测缺失业务规则。</w:t>
      </w:r>
    </w:p>
    <w:p>
      <w:r>
        <w:rPr>
          <w:rFonts w:ascii="Arial" w:hAnsi="Arial" w:eastAsia="宋体"/>
          <w:b w:val="0"/>
          <w:color w:val="000000"/>
          <w:sz w:val="22"/>
        </w:rPr>
        <w:t>需求解释、算法阈值、审核决定由成员人工负责。使用代码智能体时保留提示词与生成记录，预计超过1小时的任务设置人工检查点，完成后核对接口、规则和测试；至少3个核心模块最终行覆盖率不低于80%。本轮仅提供规范和验收设计，执行人、运行日志、真实覆盖率及代码版本待开发后填写。</w:t>
      </w:r>
    </w:p>
    <w:p>
      <w:r>
        <w:rPr>
          <w:rFonts w:ascii="Arial" w:hAnsi="Arial" w:eastAsia="宋体"/>
          <w:b w:val="0"/>
          <w:color w:val="000000"/>
          <w:sz w:val="22"/>
        </w:rPr>
        <w:t>验收引用AT01—AT16，数据与来源边界引用SRS BR01—BR10和NFR01—NFR10。变更算法、阈值、状态或公式时，必须同步修改模型和验收场景，保留旧规则版本以便重放。</w:t>
      </w:r>
    </w:p>
    <w:sectPr w:rsidR="00FC693F" w:rsidRPr="0006063C" w:rsidSect="00034616">
      <w:footerReference w:type="default" r:id="rId9"/>
      <w:pgSz w:w="11906" w:h="16838"/>
      <w:pgMar w:top="1134" w:right="1276" w:bottom="1077" w:left="127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fldSimple w:instr="PAGE"/>
    <w:r>
      <w:rPr>
        <w:rFonts w:ascii="Arial" w:hAnsi="Arial" w:eastAsia="宋体"/>
        <w:b w:val="0"/>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00"/>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微软雅黑"/>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微软雅黑"/>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eastAsia="微软雅黑"/>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学术成果分享平台核心模块开发规范</dc:title>
  <dc:subject>软件系统分析与设计 需求调研与需求建模</dc:subject>
  <dc:creator>自定义名称8</dc:creator>
  <cp:keywords/>
  <dc:description>generated by python-docx</dc:description>
  <cp:lastModifiedBy>自定义名称8</cp:lastModifiedBy>
  <cp:revision>1</cp:revision>
  <dcterms:created xsi:type="dcterms:W3CDTF">2013-12-23T23:15:00Z</dcterms:created>
  <dcterms:modified xsi:type="dcterms:W3CDTF">2013-12-23T23:15:00Z</dcterms:modified>
  <cp:category/>
</cp:coreProperties>
</file>