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HoloCue</w:t>
        <w:br/>
        <w:t>任务驱动的全息焦深提示</w:t>
      </w:r>
    </w:p>
    <w:p>
      <w:r>
        <w:rPr>
          <w:rFonts w:ascii="Calibri" w:hAnsi="Calibri" w:eastAsia="Noto Sans CJK SC"/>
        </w:rPr>
        <w:t>论文思路与第一阶段系统总览  ·  2026 年 9 月 15 日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08"/>
      </w:tblGrid>
      <w:tr>
        <w:trPr>
          <w:cantSplit/>
        </w:trPr>
        <w:tc>
          <w:tcPr>
            <w:tcW w:type="dxa" w:w="9808"/>
            <w:shd w:fill="EAF4F3"/>
          </w:tcPr>
          <w:p>
            <w:pPr>
              <w:spacing w:before="140" w:after="140"/>
            </w:pPr>
            <w:r>
              <w:rPr>
                <w:rFonts w:ascii="Calibri" w:hAnsi="Calibri" w:eastAsia="Noto Sans CJK SC"/>
                <w:b/>
                <w:color w:val="258A88"/>
                <w:sz w:val="22"/>
              </w:rPr>
              <w:t>让任务决定提示如何被看见。当前操作需要精确对准，后续步骤需要保留上下文。我们将这些差异转成可控制、可测量的全息提示属性。</w:t>
            </w:r>
          </w:p>
        </w:tc>
      </w:tr>
    </w:tbl>
    <w:p>
      <w:pPr>
        <w:spacing w:after="0"/>
      </w:pPr>
    </w:p>
    <w:p>
      <w:r>
        <w:rPr>
          <w:rFonts w:ascii="Calibri" w:hAnsi="Calibri" w:eastAsia="Noto Sans CJK SC"/>
        </w:rPr>
        <w:t>本文研究交互式全息显示中的提示组织。当多个提示位于不同深度时，它们承担的任务角色不同。系统根据当前操作、后续步骤和临时打断，联合安排提示的表示精度与轴向可辨认范围，让显示内容跟随任务进程变化。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6192000" cy="2734800"/>
            <wp:docPr id="1" name="Picture 1" descr="图 1  从转动 B，到临时查看 C，再恢复 B。示意图说明任务逻辑，实际光学效果由实验测量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task_story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92000" cy="273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rFonts w:ascii="Calibri" w:hAnsi="Calibri" w:eastAsia="Noto Sans CJK SC"/>
          <w:b w:val="0"/>
          <w:color w:val="63778A"/>
          <w:sz w:val="18"/>
        </w:rPr>
        <w:t>图 1  从转动 B，到临时查看 C，再恢复 B。示意图说明任务逻辑，实际光学效果由实验测量。</w:t>
      </w:r>
    </w:p>
    <w:p>
      <w:pPr>
        <w:pStyle w:val="Heading2"/>
      </w:pPr>
      <w:r>
        <w:t>读完后应该记住什么</w:t>
      </w:r>
    </w:p>
    <w:p>
      <w:r>
        <w:rPr>
          <w:rFonts w:ascii="Calibri" w:hAnsi="Calibri" w:eastAsia="Noto Sans CJK SC"/>
        </w:rPr>
        <w:t>全息显示提供了一种可以沿深度变化的信息表达方式。HoloCue 将这一能力接入任务交互，使提示在何处出现、需要多精细、随调焦怎样变化，都有明确的任务依据。大模型处理开放语言与重规划，显式状态保持任务连续性，光学侧实现可复现的显示。</w:t>
      </w:r>
    </w:p>
    <w:p>
      <w:r>
        <w:rPr>
          <w:rFonts w:ascii="Calibri" w:hAnsi="Calibri" w:eastAsia="Noto Sans CJK SC"/>
        </w:rPr>
        <w:t>本稿给出研究主张、方法设计和实验计划。已经完成的代码基础与尚待现场执行的环节在交付记录中分别列出，文中的示意图用于解释设计。</w:t>
      </w:r>
    </w:p>
    <w:p>
      <w:r>
        <w:br w:type="page"/>
      </w:r>
    </w:p>
    <w:p>
      <w:pPr>
        <w:pStyle w:val="Heading1"/>
      </w:pPr>
      <w:r>
        <w:t>01  从任务需求定义两个控制量</w:t>
      </w:r>
    </w:p>
    <w:p>
      <w:r>
        <w:rPr>
          <w:rFonts w:ascii="Calibri" w:hAnsi="Calibri" w:eastAsia="Noto Sans CJK SC"/>
        </w:rPr>
        <w:t>一条提示可以同时携带操作内容与显示需求。转动角度需要被准确辨认，下一步提示需要在任务切换时仍可找到。Gaussian 数量 N 用来约束表示开销，Gaussian 宽度 σ 通过已标定的传播和成像链路控制轴向响应。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6192000" cy="2730109"/>
            <wp:docPr id="2" name="Picture 2" descr="图 2  表示预算与轴向响应。曲线是设计意图，数值与形状以合作方实测为准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control_concep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92000" cy="27301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rFonts w:ascii="Calibri" w:hAnsi="Calibri" w:eastAsia="Noto Sans CJK SC"/>
          <w:b w:val="0"/>
          <w:color w:val="63778A"/>
          <w:sz w:val="18"/>
        </w:rPr>
        <w:t>图 2  表示预算与轴向响应。曲线是设计意图，数值与形状以合作方实测为准。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41"/>
        <w:gridCol w:w="3402"/>
        <w:gridCol w:w="4309"/>
      </w:tblGrid>
      <w:tr>
        <w:trPr>
          <w:tblHeader/>
          <w:cantSplit/>
        </w:trPr>
        <w:tc>
          <w:tcPr>
            <w:tcW w:type="dxa" w:w="2041"/>
            <w:shd w:fill="EAF1F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60" w:before="60" w:line="276" w:lineRule="auto"/>
            </w:pPr>
            <w:r>
              <w:rPr>
                <w:rFonts w:ascii="Calibri" w:hAnsi="Calibri" w:eastAsia="Noto Sans CJK SC"/>
                <w:b/>
                <w:color w:val="253C50"/>
                <w:sz w:val="18"/>
              </w:rPr>
              <w:t>任务信息</w:t>
            </w:r>
          </w:p>
        </w:tc>
        <w:tc>
          <w:tcPr>
            <w:tcW w:type="dxa" w:w="3402"/>
            <w:shd w:fill="EAF1F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60" w:before="60" w:line="276" w:lineRule="auto"/>
            </w:pPr>
            <w:r>
              <w:rPr>
                <w:rFonts w:ascii="Calibri" w:hAnsi="Calibri" w:eastAsia="Noto Sans CJK SC"/>
                <w:b/>
                <w:color w:val="253C50"/>
                <w:sz w:val="18"/>
              </w:rPr>
              <w:t>确定性映射</w:t>
            </w:r>
          </w:p>
        </w:tc>
        <w:tc>
          <w:tcPr>
            <w:tcW w:type="dxa" w:w="4309"/>
            <w:shd w:fill="EAF1F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60" w:before="60" w:line="276" w:lineRule="auto"/>
            </w:pPr>
            <w:r>
              <w:rPr>
                <w:rFonts w:ascii="Calibri" w:hAnsi="Calibri" w:eastAsia="Noto Sans CJK SC"/>
                <w:b/>
                <w:color w:val="253C50"/>
                <w:sz w:val="18"/>
              </w:rPr>
              <w:t>显示目标</w:t>
            </w:r>
          </w:p>
        </w:tc>
      </w:tr>
      <w:tr>
        <w:trPr>
          <w:cantSplit/>
        </w:trPr>
        <w:tc>
          <w:tcPr>
            <w:tcW w:type="dxa" w:w="2041"/>
            <w:shd w:fill="F7FAFC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60" w:before="60" w:line="276" w:lineRule="auto"/>
            </w:pPr>
            <w:r>
              <w:rPr>
                <w:rFonts w:ascii="Calibri" w:hAnsi="Calibri" w:eastAsia="Noto Sans CJK SC"/>
                <w:b w:val="0"/>
                <w:color w:val="253C50"/>
                <w:sz w:val="18"/>
              </w:rPr>
              <w:t>priority</w:t>
            </w:r>
          </w:p>
        </w:tc>
        <w:tc>
          <w:tcPr>
            <w:tcW w:type="dxa" w:w="3402"/>
            <w:shd w:fill="F7FAFC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60" w:before="60" w:line="276" w:lineRule="auto"/>
            </w:pPr>
            <w:r>
              <w:rPr>
                <w:rFonts w:ascii="Calibri" w:hAnsi="Calibri" w:eastAsia="Noto Sans CJK SC"/>
                <w:b w:val="0"/>
                <w:color w:val="253C50"/>
                <w:sz w:val="18"/>
              </w:rPr>
              <w:t>在总预算内分配 N</w:t>
            </w:r>
          </w:p>
        </w:tc>
        <w:tc>
          <w:tcPr>
            <w:tcW w:type="dxa" w:w="4309"/>
            <w:shd w:fill="F7FAFC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60" w:before="60" w:line="276" w:lineRule="auto"/>
            </w:pPr>
            <w:r>
              <w:rPr>
                <w:rFonts w:ascii="Calibri" w:hAnsi="Calibri" w:eastAsia="Noto Sans CJK SC"/>
                <w:b w:val="0"/>
                <w:color w:val="253C50"/>
                <w:sz w:val="18"/>
              </w:rPr>
              <w:t>优先保障当前有效信息的几何细节</w:t>
            </w:r>
          </w:p>
        </w:tc>
      </w:tr>
      <w:tr>
        <w:trPr>
          <w:cantSplit/>
        </w:trPr>
        <w:tc>
          <w:tcPr>
            <w:tcW w:type="dxa" w:w="2041"/>
            <w:shd w:fill="FFFFFF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60" w:before="60" w:line="276" w:lineRule="auto"/>
            </w:pPr>
            <w:r>
              <w:rPr>
                <w:rFonts w:ascii="Calibri" w:hAnsi="Calibri" w:eastAsia="Noto Sans CJK SC"/>
                <w:b w:val="0"/>
                <w:color w:val="253C50"/>
                <w:sz w:val="18"/>
              </w:rPr>
              <w:t>depth_requirement</w:t>
            </w:r>
          </w:p>
        </w:tc>
        <w:tc>
          <w:tcPr>
            <w:tcW w:type="dxa" w:w="3402"/>
            <w:shd w:fill="FFFFFF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60" w:before="60" w:line="276" w:lineRule="auto"/>
            </w:pPr>
            <w:r>
              <w:rPr>
                <w:rFonts w:ascii="Calibri" w:hAnsi="Calibri" w:eastAsia="Noto Sans CJK SC"/>
                <w:b w:val="0"/>
                <w:color w:val="253C50"/>
                <w:sz w:val="18"/>
              </w:rPr>
              <w:t>选择标定后的 σ 配置</w:t>
            </w:r>
          </w:p>
        </w:tc>
        <w:tc>
          <w:tcPr>
            <w:tcW w:type="dxa" w:w="4309"/>
            <w:shd w:fill="FFFFFF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60" w:before="60" w:line="276" w:lineRule="auto"/>
            </w:pPr>
            <w:r>
              <w:rPr>
                <w:rFonts w:ascii="Calibri" w:hAnsi="Calibri" w:eastAsia="Noto Sans CJK SC"/>
                <w:b w:val="0"/>
                <w:color w:val="253C50"/>
                <w:sz w:val="18"/>
              </w:rPr>
              <w:t>提供精确定位或持续保留所需的轴向响应</w:t>
            </w:r>
          </w:p>
        </w:tc>
      </w:tr>
      <w:tr>
        <w:trPr>
          <w:cantSplit/>
        </w:trPr>
        <w:tc>
          <w:tcPr>
            <w:tcW w:type="dxa" w:w="2041"/>
            <w:shd w:fill="F7FAFC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60" w:before="60" w:line="276" w:lineRule="auto"/>
            </w:pPr>
            <w:r>
              <w:rPr>
                <w:rFonts w:ascii="Calibri" w:hAnsi="Calibri" w:eastAsia="Noto Sans CJK SC"/>
                <w:b w:val="0"/>
                <w:color w:val="253C50"/>
                <w:sz w:val="18"/>
              </w:rPr>
              <w:t>task_role 与目标对象</w:t>
            </w:r>
          </w:p>
        </w:tc>
        <w:tc>
          <w:tcPr>
            <w:tcW w:type="dxa" w:w="3402"/>
            <w:shd w:fill="F7FAFC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60" w:before="60" w:line="276" w:lineRule="auto"/>
            </w:pPr>
            <w:r>
              <w:rPr>
                <w:rFonts w:ascii="Calibri" w:hAnsi="Calibri" w:eastAsia="Noto Sans CJK SC"/>
                <w:b w:val="0"/>
                <w:color w:val="253C50"/>
                <w:sz w:val="18"/>
              </w:rPr>
              <w:t>确定显示顺序、内容和空间锚点</w:t>
            </w:r>
          </w:p>
        </w:tc>
        <w:tc>
          <w:tcPr>
            <w:tcW w:type="dxa" w:w="4309"/>
            <w:shd w:fill="F7FAFC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60" w:before="60" w:line="276" w:lineRule="auto"/>
            </w:pPr>
            <w:r>
              <w:rPr>
                <w:rFonts w:ascii="Calibri" w:hAnsi="Calibri" w:eastAsia="Noto Sans CJK SC"/>
                <w:b w:val="0"/>
                <w:color w:val="253C50"/>
                <w:sz w:val="18"/>
              </w:rPr>
              <w:t>让当前任务、后续步骤和背景保持一致</w:t>
            </w:r>
          </w:p>
        </w:tc>
      </w:tr>
    </w:tbl>
    <w:p>
      <w:pPr>
        <w:spacing w:after="0"/>
      </w:pPr>
    </w:p>
    <w:p>
      <w:r>
        <w:rPr>
          <w:rFonts w:ascii="Calibri" w:hAnsi="Calibri" w:eastAsia="Noto Sans CJK SC"/>
        </w:rPr>
        <w:t>N 和 σ 是两个可控参数，其效果通过联合标定确定。第一阶段采用总预算 6000 的比例分配基线，以及相对 σ 配置 1、2.5、4，用于跑通参数接口。光学版本用真实测量替换配置，并保留来源和版本。</w:t>
      </w:r>
    </w:p>
    <w:p>
      <w:r>
        <w:rPr>
          <w:rFonts w:ascii="Calibri" w:hAnsi="Calibri" w:eastAsia="Noto Sans CJK SC"/>
        </w:rPr>
        <w:t>深度需求单独保留很重要。精确对准目标通常需要较窄的响应，跨深度提醒则可能需要较宽的可见范围。任务优先级与焦深需求分别进入映射，使系统能表达这两类情况。</w:t>
      </w:r>
    </w:p>
    <w:p>
      <w:r>
        <w:br w:type="page"/>
      </w:r>
    </w:p>
    <w:p>
      <w:pPr>
        <w:pStyle w:val="Heading1"/>
      </w:pPr>
      <w:r>
        <w:t>02  系统怎样完成一次交互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6192000" cy="2392364"/>
            <wp:docPr id="3" name="Picture 3" descr="图 3  语义决策、状态保持、参数映射与显示执行。第一阶段接入 Blender 和 Viser，后续接入真实光学端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architectur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92000" cy="23923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rFonts w:ascii="Calibri" w:hAnsi="Calibri" w:eastAsia="Noto Sans CJK SC"/>
          <w:b w:val="0"/>
          <w:color w:val="63778A"/>
          <w:sz w:val="18"/>
        </w:rPr>
        <w:t>图 3  语义决策、状态保持、参数映射与显示执行。第一阶段接入 Blender 和 Viser，后续接入真实光学端。</w:t>
      </w:r>
    </w:p>
    <w:p>
      <w:r>
        <w:rPr>
          <w:rFonts w:ascii="Calibri" w:hAnsi="Calibri" w:eastAsia="Noto Sans CJK SC"/>
        </w:rPr>
        <w:t>输入包括自然语言、已知对象清单和当前任务状态。Agent 输出目标对象、动作、角色、优先级与深度需求。场景校验确认对象和动作有效，状态事务保存任务队列，映射模块生成具体 N 和 σ。显示端持续执行当前有效版本。</w:t>
      </w:r>
    </w:p>
    <w:p>
      <w:pPr>
        <w:pStyle w:val="Heading2"/>
      </w:pPr>
      <w:r>
        <w:t>一次典型的打断与恢复</w:t>
      </w:r>
    </w:p>
    <w:p>
      <w:r>
        <w:rPr>
          <w:rFonts w:ascii="Calibri" w:hAnsi="Calibri" w:eastAsia="Noto Sans CJK SC"/>
        </w:rPr>
        <w:t>用户先要求把 B 逆时针转 30 度，再查看 C 的背面。系统显示 B 的环形箭头和角度，同时保留 C 的下一步提示。用户中途改成先检查 C，旧动作立即停止，B 的角度、任务标识和后续队列一起保存。C 检查完成后，系统恢复原来的 B 步骤。</w:t>
      </w:r>
    </w:p>
    <w:p>
      <w:r>
        <w:rPr>
          <w:rFonts w:ascii="Calibri" w:hAnsi="Calibri" w:eastAsia="Noto Sans CJK SC"/>
        </w:rPr>
        <w:t>大模型负责理解临时要求和约束组合。任务状态由程序显式维护，因此暂停、恢复和旧响应失效都有可验证的行为。慢环路更新计划，快环路执行动作与显示；二者共用有版本的显示包。</w:t>
      </w:r>
    </w:p>
    <w:p>
      <w:pPr>
        <w:pStyle w:val="Heading2"/>
      </w:pPr>
      <w:r>
        <w:t>第一版场景条件</w:t>
      </w:r>
    </w:p>
    <w:p>
      <w:r>
        <w:rPr>
          <w:rFonts w:ascii="Calibri" w:hAnsi="Calibri" w:eastAsia="Noto Sans CJK SC"/>
        </w:rPr>
        <w:t>场景几何来自预先建立的对象清单，模型可读对象名称、能力和状态。物体坐标由场景直接提供。这样的设置把第一阶段的观察重点放在任务理解、交互连续性和显示参数联动，后续可在相同接口接入图像与实际定位。</w:t>
      </w:r>
    </w:p>
    <w:p>
      <w:r>
        <w:rPr>
          <w:rFonts w:ascii="Calibri" w:hAnsi="Calibri" w:eastAsia="Noto Sans CJK SC"/>
        </w:rPr>
        <w:t>代码按一个规划 Agent、两个处理节点和一份 SQLite 权威状态实现。新增场景主要增加资产、对象能力和锚点，核心状态逻辑可以复用。</w:t>
      </w:r>
    </w:p>
    <w:p>
      <w:r>
        <w:br w:type="page"/>
      </w:r>
    </w:p>
    <w:p>
      <w:pPr>
        <w:pStyle w:val="Heading1"/>
      </w:pPr>
      <w:r>
        <w:t>03  与相关工作的关系怎样讲</w:t>
      </w:r>
    </w:p>
    <w:p>
      <w:r>
        <w:rPr>
          <w:rFonts w:ascii="Calibri" w:hAnsi="Calibri" w:eastAsia="Noto Sans CJK SC"/>
        </w:rPr>
        <w:t>相关工作应先围绕全息显示的能力发展展开，再引入任务交互。计算全息已有高效波场表示，焦深研究已经关注瞳孔条件和成像响应，语言交互也已进入全息系统。本文进一步把这些能力组织为任务条件化的提示控制问题。[R01–R06]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41"/>
        <w:gridCol w:w="3402"/>
        <w:gridCol w:w="4309"/>
      </w:tblGrid>
      <w:tr>
        <w:trPr>
          <w:tblHeader/>
          <w:cantSplit/>
        </w:trPr>
        <w:tc>
          <w:tcPr>
            <w:tcW w:type="dxa" w:w="2041"/>
            <w:shd w:fill="EAF1F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60" w:before="60" w:line="276" w:lineRule="auto"/>
            </w:pPr>
            <w:r>
              <w:rPr>
                <w:rFonts w:ascii="Calibri" w:hAnsi="Calibri" w:eastAsia="Noto Sans CJK SC"/>
                <w:b/>
                <w:color w:val="253C50"/>
                <w:sz w:val="18"/>
              </w:rPr>
              <w:t>研究路线</w:t>
            </w:r>
          </w:p>
        </w:tc>
        <w:tc>
          <w:tcPr>
            <w:tcW w:type="dxa" w:w="3402"/>
            <w:shd w:fill="EAF1F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60" w:before="60" w:line="276" w:lineRule="auto"/>
            </w:pPr>
            <w:r>
              <w:rPr>
                <w:rFonts w:ascii="Calibri" w:hAnsi="Calibri" w:eastAsia="Noto Sans CJK SC"/>
                <w:b/>
                <w:color w:val="253C50"/>
                <w:sz w:val="18"/>
              </w:rPr>
              <w:t>已有成果</w:t>
            </w:r>
          </w:p>
        </w:tc>
        <w:tc>
          <w:tcPr>
            <w:tcW w:type="dxa" w:w="4309"/>
            <w:shd w:fill="EAF1F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60" w:before="60" w:line="276" w:lineRule="auto"/>
            </w:pPr>
            <w:r>
              <w:rPr>
                <w:rFonts w:ascii="Calibri" w:hAnsi="Calibri" w:eastAsia="Noto Sans CJK SC"/>
                <w:b/>
                <w:color w:val="253C50"/>
                <w:sz w:val="18"/>
              </w:rPr>
              <w:t>本文进一步研究的内容</w:t>
            </w:r>
          </w:p>
        </w:tc>
      </w:tr>
      <w:tr>
        <w:trPr>
          <w:cantSplit/>
        </w:trPr>
        <w:tc>
          <w:tcPr>
            <w:tcW w:type="dxa" w:w="2041"/>
            <w:shd w:fill="F7FAFC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60" w:before="60" w:line="276" w:lineRule="auto"/>
            </w:pPr>
            <w:r>
              <w:rPr>
                <w:rFonts w:ascii="Calibri" w:hAnsi="Calibri" w:eastAsia="Noto Sans CJK SC"/>
                <w:b w:val="0"/>
                <w:color w:val="253C50"/>
                <w:sz w:val="18"/>
              </w:rPr>
              <w:t>GWS 与 RPWS</w:t>
              <w:br/>
              <w:t>[R01][R02]</w:t>
            </w:r>
          </w:p>
        </w:tc>
        <w:tc>
          <w:tcPr>
            <w:tcW w:type="dxa" w:w="3402"/>
            <w:shd w:fill="F7FAFC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60" w:before="60" w:line="276" w:lineRule="auto"/>
            </w:pPr>
            <w:r>
              <w:rPr>
                <w:rFonts w:ascii="Calibri" w:hAnsi="Calibri" w:eastAsia="Noto Sans CJK SC"/>
                <w:b w:val="0"/>
                <w:color w:val="253C50"/>
                <w:sz w:val="18"/>
              </w:rPr>
              <w:t>紧凑基元到波场的生成，并分析离焦、混合与瞳孔条件。</w:t>
            </w:r>
          </w:p>
        </w:tc>
        <w:tc>
          <w:tcPr>
            <w:tcW w:type="dxa" w:w="4309"/>
            <w:shd w:fill="F7FAFC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60" w:before="60" w:line="276" w:lineRule="auto"/>
            </w:pPr>
            <w:r>
              <w:rPr>
                <w:rFonts w:ascii="Calibri" w:hAnsi="Calibri" w:eastAsia="Noto Sans CJK SC"/>
                <w:b w:val="0"/>
                <w:color w:val="253C50"/>
                <w:sz w:val="18"/>
              </w:rPr>
              <w:t>在同一显示链路内，根据任务需求选择提示的轴向响应和表示预算。</w:t>
            </w:r>
          </w:p>
        </w:tc>
      </w:tr>
      <w:tr>
        <w:trPr>
          <w:cantSplit/>
        </w:trPr>
        <w:tc>
          <w:tcPr>
            <w:tcW w:type="dxa" w:w="2041"/>
            <w:shd w:fill="FFFFFF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60" w:before="60" w:line="276" w:lineRule="auto"/>
            </w:pPr>
            <w:r>
              <w:rPr>
                <w:rFonts w:ascii="Calibri" w:hAnsi="Calibri" w:eastAsia="Noto Sans CJK SC"/>
                <w:b w:val="0"/>
                <w:color w:val="253C50"/>
                <w:sz w:val="18"/>
              </w:rPr>
              <w:t>Pupil-Adaptive Holography</w:t>
              <w:br/>
              <w:t>[R03]</w:t>
            </w:r>
          </w:p>
        </w:tc>
        <w:tc>
          <w:tcPr>
            <w:tcW w:type="dxa" w:w="3402"/>
            <w:shd w:fill="FFFFFF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60" w:before="60" w:line="276" w:lineRule="auto"/>
            </w:pPr>
            <w:r>
              <w:rPr>
                <w:rFonts w:ascii="Calibri" w:hAnsi="Calibri" w:eastAsia="Noto Sans CJK SC"/>
                <w:b w:val="0"/>
                <w:color w:val="253C50"/>
                <w:sz w:val="18"/>
              </w:rPr>
              <w:t>根据瞳孔状态调整三维重建与焦深。</w:t>
            </w:r>
          </w:p>
        </w:tc>
        <w:tc>
          <w:tcPr>
            <w:tcW w:type="dxa" w:w="4309"/>
            <w:shd w:fill="FFFFFF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60" w:before="60" w:line="276" w:lineRule="auto"/>
            </w:pPr>
            <w:r>
              <w:rPr>
                <w:rFonts w:ascii="Calibri" w:hAnsi="Calibri" w:eastAsia="Noto Sans CJK SC"/>
                <w:b w:val="0"/>
                <w:color w:val="253C50"/>
                <w:sz w:val="18"/>
              </w:rPr>
              <w:t>以任务角色和显示目的作为控制条件，研究不同提示的可辨认范围。</w:t>
            </w:r>
          </w:p>
        </w:tc>
      </w:tr>
      <w:tr>
        <w:trPr>
          <w:cantSplit/>
        </w:trPr>
        <w:tc>
          <w:tcPr>
            <w:tcW w:type="dxa" w:w="2041"/>
            <w:shd w:fill="F7FAFC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60" w:before="60" w:line="276" w:lineRule="auto"/>
            </w:pPr>
            <w:r>
              <w:rPr>
                <w:rFonts w:ascii="Calibri" w:hAnsi="Calibri" w:eastAsia="Noto Sans CJK SC"/>
                <w:b w:val="0"/>
                <w:color w:val="253C50"/>
                <w:sz w:val="18"/>
              </w:rPr>
              <w:t>Semantic Depth of Field</w:t>
              <w:br/>
              <w:t>[R04]</w:t>
            </w:r>
          </w:p>
        </w:tc>
        <w:tc>
          <w:tcPr>
            <w:tcW w:type="dxa" w:w="3402"/>
            <w:shd w:fill="F7FAFC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60" w:before="60" w:line="276" w:lineRule="auto"/>
            </w:pPr>
            <w:r>
              <w:rPr>
                <w:rFonts w:ascii="Calibri" w:hAnsi="Calibri" w:eastAsia="Noto Sans CJK SC"/>
                <w:b w:val="0"/>
                <w:color w:val="253C50"/>
                <w:sz w:val="18"/>
              </w:rPr>
              <w:t>用语义相关性决定清晰和模糊的图像表达。</w:t>
            </w:r>
          </w:p>
        </w:tc>
        <w:tc>
          <w:tcPr>
            <w:tcW w:type="dxa" w:w="4309"/>
            <w:shd w:fill="F7FAFC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60" w:before="60" w:line="276" w:lineRule="auto"/>
            </w:pPr>
            <w:r>
              <w:rPr>
                <w:rFonts w:ascii="Calibri" w:hAnsi="Calibri" w:eastAsia="Noto Sans CJK SC"/>
                <w:b w:val="0"/>
                <w:color w:val="253C50"/>
                <w:sz w:val="18"/>
              </w:rPr>
              <w:t>将语义组织延伸到全息成像的真实轴向响应，并测量任务效用。</w:t>
            </w:r>
          </w:p>
        </w:tc>
      </w:tr>
      <w:tr>
        <w:trPr>
          <w:cantSplit/>
        </w:trPr>
        <w:tc>
          <w:tcPr>
            <w:tcW w:type="dxa" w:w="2041"/>
            <w:shd w:fill="FFFFFF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60" w:before="60" w:line="276" w:lineRule="auto"/>
            </w:pPr>
            <w:r>
              <w:rPr>
                <w:rFonts w:ascii="Calibri" w:hAnsi="Calibri" w:eastAsia="Noto Sans CJK SC"/>
                <w:b w:val="0"/>
                <w:color w:val="253C50"/>
                <w:sz w:val="18"/>
              </w:rPr>
              <w:t>交互全息数字人</w:t>
              <w:br/>
              <w:t>[R05]</w:t>
            </w:r>
          </w:p>
        </w:tc>
        <w:tc>
          <w:tcPr>
            <w:tcW w:type="dxa" w:w="3402"/>
            <w:shd w:fill="FFFFFF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60" w:before="60" w:line="276" w:lineRule="auto"/>
            </w:pPr>
            <w:r>
              <w:rPr>
                <w:rFonts w:ascii="Calibri" w:hAnsi="Calibri" w:eastAsia="Noto Sans CJK SC"/>
                <w:b w:val="0"/>
                <w:color w:val="253C50"/>
                <w:sz w:val="18"/>
              </w:rPr>
              <w:t>将语言交互、数字人动作和全息重建接成系统。</w:t>
            </w:r>
          </w:p>
        </w:tc>
        <w:tc>
          <w:tcPr>
            <w:tcW w:type="dxa" w:w="4309"/>
            <w:shd w:fill="FFFFFF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60" w:before="60" w:line="276" w:lineRule="auto"/>
            </w:pPr>
            <w:r>
              <w:rPr>
                <w:rFonts w:ascii="Calibri" w:hAnsi="Calibri" w:eastAsia="Noto Sans CJK SC"/>
                <w:b w:val="0"/>
                <w:color w:val="253C50"/>
                <w:sz w:val="18"/>
              </w:rPr>
              <w:t>面向稀疏空间操作提示，结合参数化动作、任务恢复和焦深编码。</w:t>
            </w:r>
          </w:p>
        </w:tc>
      </w:tr>
      <w:tr>
        <w:trPr>
          <w:cantSplit/>
        </w:trPr>
        <w:tc>
          <w:tcPr>
            <w:tcW w:type="dxa" w:w="2041"/>
            <w:shd w:fill="F7FAFC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60" w:before="60" w:line="276" w:lineRule="auto"/>
            </w:pPr>
            <w:r>
              <w:rPr>
                <w:rFonts w:ascii="Calibri" w:hAnsi="Calibri" w:eastAsia="Noto Sans CJK SC"/>
                <w:b w:val="0"/>
                <w:color w:val="253C50"/>
                <w:sz w:val="18"/>
              </w:rPr>
              <w:t>Guided Reality</w:t>
              <w:br/>
              <w:t>[R06]</w:t>
            </w:r>
          </w:p>
        </w:tc>
        <w:tc>
          <w:tcPr>
            <w:tcW w:type="dxa" w:w="3402"/>
            <w:shd w:fill="F7FAFC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60" w:before="60" w:line="276" w:lineRule="auto"/>
            </w:pPr>
            <w:r>
              <w:rPr>
                <w:rFonts w:ascii="Calibri" w:hAnsi="Calibri" w:eastAsia="Noto Sans CJK SC"/>
                <w:b w:val="0"/>
                <w:color w:val="253C50"/>
                <w:sz w:val="18"/>
              </w:rPr>
              <w:t>生成步骤、高亮、动作示范等空间指导。</w:t>
            </w:r>
          </w:p>
        </w:tc>
        <w:tc>
          <w:tcPr>
            <w:tcW w:type="dxa" w:w="4309"/>
            <w:shd w:fill="F7FAFC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60" w:before="60" w:line="276" w:lineRule="auto"/>
            </w:pPr>
            <w:r>
              <w:rPr>
                <w:rFonts w:ascii="Calibri" w:hAnsi="Calibri" w:eastAsia="Noto Sans CJK SC"/>
                <w:b w:val="0"/>
                <w:color w:val="253C50"/>
                <w:sz w:val="18"/>
              </w:rPr>
              <w:t>研究这类指导在全息光学中的呈现属性与物理控制。</w:t>
            </w:r>
          </w:p>
        </w:tc>
      </w:tr>
    </w:tbl>
    <w:p>
      <w:pPr>
        <w:spacing w:after="0"/>
      </w:pPr>
    </w:p>
    <w:p>
      <w:pPr>
        <w:pStyle w:val="Heading2"/>
      </w:pPr>
      <w:r>
        <w:t>GaussLite 应该放在哪里</w:t>
      </w:r>
    </w:p>
    <w:p>
      <w:r>
        <w:rPr>
          <w:rFonts w:ascii="Calibri" w:hAnsi="Calibri" w:eastAsia="Noto Sans CJK SC"/>
        </w:rPr>
        <w:t>GaussLite 研究机器人建图中的任务相关采样、尺度和优化投入。它适合在表示预算的背景中选择性引用；本文解决全息提示的轴向呈现和交互控制，主要实验对照应围绕相同光学系统里的提示策略展开。[R07]</w:t>
      </w:r>
    </w:p>
    <w:p>
      <w:r>
        <w:rPr>
          <w:rFonts w:ascii="Calibri" w:hAnsi="Calibri" w:eastAsia="Noto Sans CJK SC"/>
        </w:rPr>
        <w:t>这条相关工作组织方式让贡献落到具体研究对象上。比较重点是任务条件、光学控制量和证据，而非参数名称是否相同。</w:t>
      </w:r>
    </w:p>
    <w:p>
      <w:r>
        <w:br w:type="page"/>
      </w:r>
    </w:p>
    <w:p>
      <w:pPr>
        <w:pStyle w:val="Heading1"/>
      </w:pPr>
      <w:r>
        <w:t>04  三组证据支撑一条主线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41"/>
        <w:gridCol w:w="3402"/>
        <w:gridCol w:w="4309"/>
      </w:tblGrid>
      <w:tr>
        <w:trPr>
          <w:tblHeader/>
          <w:cantSplit/>
        </w:trPr>
        <w:tc>
          <w:tcPr>
            <w:tcW w:type="dxa" w:w="2041"/>
            <w:shd w:fill="EAF1F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60" w:before="60" w:line="276" w:lineRule="auto"/>
            </w:pPr>
            <w:r>
              <w:rPr>
                <w:rFonts w:ascii="Calibri" w:hAnsi="Calibri" w:eastAsia="Noto Sans CJK SC"/>
                <w:b/>
                <w:color w:val="253C50"/>
                <w:sz w:val="18"/>
              </w:rPr>
              <w:t>问题</w:t>
            </w:r>
          </w:p>
        </w:tc>
        <w:tc>
          <w:tcPr>
            <w:tcW w:type="dxa" w:w="3402"/>
            <w:shd w:fill="EAF1F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60" w:before="60" w:line="276" w:lineRule="auto"/>
            </w:pPr>
            <w:r>
              <w:rPr>
                <w:rFonts w:ascii="Calibri" w:hAnsi="Calibri" w:eastAsia="Noto Sans CJK SC"/>
                <w:b/>
                <w:color w:val="253C50"/>
                <w:sz w:val="18"/>
              </w:rPr>
              <w:t>最小实验</w:t>
            </w:r>
          </w:p>
        </w:tc>
        <w:tc>
          <w:tcPr>
            <w:tcW w:type="dxa" w:w="4309"/>
            <w:shd w:fill="EAF1F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60" w:before="60" w:line="276" w:lineRule="auto"/>
            </w:pPr>
            <w:r>
              <w:rPr>
                <w:rFonts w:ascii="Calibri" w:hAnsi="Calibri" w:eastAsia="Noto Sans CJK SC"/>
                <w:b/>
                <w:color w:val="253C50"/>
                <w:sz w:val="18"/>
              </w:rPr>
              <w:t>支持的结论</w:t>
            </w:r>
          </w:p>
        </w:tc>
      </w:tr>
      <w:tr>
        <w:trPr>
          <w:cantSplit/>
        </w:trPr>
        <w:tc>
          <w:tcPr>
            <w:tcW w:type="dxa" w:w="2041"/>
            <w:shd w:fill="F7FAFC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60" w:before="60" w:line="276" w:lineRule="auto"/>
            </w:pPr>
            <w:r>
              <w:rPr>
                <w:rFonts w:ascii="Calibri" w:hAnsi="Calibri" w:eastAsia="Noto Sans CJK SC"/>
                <w:b w:val="0"/>
                <w:color w:val="253C50"/>
                <w:sz w:val="18"/>
              </w:rPr>
              <w:t>轴向响应是否可控</w:t>
            </w:r>
          </w:p>
        </w:tc>
        <w:tc>
          <w:tcPr>
            <w:tcW w:type="dxa" w:w="3402"/>
            <w:shd w:fill="F7FAFC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60" w:before="60" w:line="276" w:lineRule="auto"/>
            </w:pPr>
            <w:r>
              <w:rPr>
                <w:rFonts w:ascii="Calibri" w:hAnsi="Calibri" w:eastAsia="Noto Sans CJK SC"/>
                <w:b w:val="0"/>
                <w:color w:val="253C50"/>
                <w:sz w:val="18"/>
              </w:rPr>
              <w:t>固定内容与位置，交叉改变 N 和 σ，测焦内质量、实际调焦扫描和生成时间。</w:t>
            </w:r>
          </w:p>
        </w:tc>
        <w:tc>
          <w:tcPr>
            <w:tcW w:type="dxa" w:w="4309"/>
            <w:shd w:fill="F7FAFC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60" w:before="60" w:line="276" w:lineRule="auto"/>
            </w:pPr>
            <w:r>
              <w:rPr>
                <w:rFonts w:ascii="Calibri" w:hAnsi="Calibri" w:eastAsia="Noto Sans CJK SC"/>
                <w:b w:val="0"/>
                <w:color w:val="253C50"/>
                <w:sz w:val="18"/>
              </w:rPr>
              <w:t>建立参数与真实显示响应的关系。</w:t>
            </w:r>
          </w:p>
        </w:tc>
      </w:tr>
      <w:tr>
        <w:trPr>
          <w:cantSplit/>
        </w:trPr>
        <w:tc>
          <w:tcPr>
            <w:tcW w:type="dxa" w:w="2041"/>
            <w:shd w:fill="FFFFFF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60" w:before="60" w:line="276" w:lineRule="auto"/>
            </w:pPr>
            <w:r>
              <w:rPr>
                <w:rFonts w:ascii="Calibri" w:hAnsi="Calibri" w:eastAsia="Noto Sans CJK SC"/>
                <w:b w:val="0"/>
                <w:color w:val="253C50"/>
                <w:sz w:val="18"/>
              </w:rPr>
              <w:t>控制是否有任务价值</w:t>
            </w:r>
          </w:p>
        </w:tc>
        <w:tc>
          <w:tcPr>
            <w:tcW w:type="dxa" w:w="3402"/>
            <w:shd w:fill="FFFFFF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60" w:before="60" w:line="276" w:lineRule="auto"/>
            </w:pPr>
            <w:r>
              <w:rPr>
                <w:rFonts w:ascii="Calibri" w:hAnsi="Calibri" w:eastAsia="Noto Sans CJK SC"/>
                <w:b w:val="0"/>
                <w:color w:val="253C50"/>
                <w:sz w:val="18"/>
              </w:rPr>
              <w:t>相同总预算下比较固定配置、只调 N、只调 σ、联合控制；加入亮度或图像模糊对照。</w:t>
            </w:r>
          </w:p>
        </w:tc>
        <w:tc>
          <w:tcPr>
            <w:tcW w:type="dxa" w:w="4309"/>
            <w:shd w:fill="FFFFFF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60" w:before="60" w:line="276" w:lineRule="auto"/>
            </w:pPr>
            <w:r>
              <w:rPr>
                <w:rFonts w:ascii="Calibri" w:hAnsi="Calibri" w:eastAsia="Noto Sans CJK SC"/>
                <w:b w:val="0"/>
                <w:color w:val="253C50"/>
                <w:sz w:val="18"/>
              </w:rPr>
              <w:t>分清表示投入和光学焦深编码带来的收益。</w:t>
            </w:r>
          </w:p>
        </w:tc>
      </w:tr>
      <w:tr>
        <w:trPr>
          <w:cantSplit/>
        </w:trPr>
        <w:tc>
          <w:tcPr>
            <w:tcW w:type="dxa" w:w="2041"/>
            <w:shd w:fill="F7FAFC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60" w:before="60" w:line="276" w:lineRule="auto"/>
            </w:pPr>
            <w:r>
              <w:rPr>
                <w:rFonts w:ascii="Calibri" w:hAnsi="Calibri" w:eastAsia="Noto Sans CJK SC"/>
                <w:b w:val="0"/>
                <w:color w:val="253C50"/>
                <w:sz w:val="18"/>
              </w:rPr>
              <w:t>动态交互是否连续</w:t>
            </w:r>
          </w:p>
        </w:tc>
        <w:tc>
          <w:tcPr>
            <w:tcW w:type="dxa" w:w="3402"/>
            <w:shd w:fill="F7FAFC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60" w:before="60" w:line="276" w:lineRule="auto"/>
            </w:pPr>
            <w:r>
              <w:rPr>
                <w:rFonts w:ascii="Calibri" w:hAnsi="Calibri" w:eastAsia="Noto Sans CJK SC"/>
                <w:b w:val="0"/>
                <w:color w:val="253C50"/>
                <w:sz w:val="18"/>
              </w:rPr>
              <w:t>改变任务顺序、临时增加检查、恢复未完成任务，记录原参数、错误和反应时间。</w:t>
            </w:r>
          </w:p>
        </w:tc>
        <w:tc>
          <w:tcPr>
            <w:tcW w:type="dxa" w:w="4309"/>
            <w:shd w:fill="F7FAFC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60" w:before="60" w:line="276" w:lineRule="auto"/>
            </w:pPr>
            <w:r>
              <w:rPr>
                <w:rFonts w:ascii="Calibri" w:hAnsi="Calibri" w:eastAsia="Noto Sans CJK SC"/>
                <w:b w:val="0"/>
                <w:color w:val="253C50"/>
                <w:sz w:val="18"/>
              </w:rPr>
              <w:t>证明语义变化能够可靠地更新显示。</w:t>
            </w:r>
          </w:p>
        </w:tc>
      </w:tr>
    </w:tbl>
    <w:p>
      <w:pPr>
        <w:spacing w:after="0"/>
      </w:pPr>
    </w:p>
    <w:p>
      <w:r>
        <w:rPr>
          <w:rFonts w:ascii="Calibri" w:hAnsi="Calibri" w:eastAsia="Noto Sans CJK SC"/>
        </w:rPr>
        <w:t>第一组实验由合作者负责。焦点扫描需记录光路、相机镜头或眼模型、孔径、亮度归一化和 Gaussian 定义。测得曲线进入统一标定文件，供 Agent 侧使用。</w:t>
      </w:r>
    </w:p>
    <w:p>
      <w:r>
        <w:rPr>
          <w:rFonts w:ascii="Calibri" w:hAnsi="Calibri" w:eastAsia="Noto Sans CJK SC"/>
        </w:rPr>
        <w:t>第二组实验选择两个有深度差异的目标和少量提示即可。任务指标可以是目标选择、角度识别、插接关系判断和中断后的恢复时间。先用能区分关键解释的实验确定方向，再扩展用户研究。</w:t>
      </w:r>
    </w:p>
    <w:p>
      <w:pPr>
        <w:pStyle w:val="Heading2"/>
      </w:pPr>
      <w:r>
        <w:t>多个场景各自承担什么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41"/>
        <w:gridCol w:w="3402"/>
        <w:gridCol w:w="4309"/>
      </w:tblGrid>
      <w:tr>
        <w:trPr>
          <w:tblHeader/>
          <w:cantSplit/>
        </w:trPr>
        <w:tc>
          <w:tcPr>
            <w:tcW w:type="dxa" w:w="2041"/>
            <w:shd w:fill="EAF1F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60" w:before="60" w:line="276" w:lineRule="auto"/>
            </w:pPr>
            <w:r>
              <w:rPr>
                <w:rFonts w:ascii="Calibri" w:hAnsi="Calibri" w:eastAsia="Noto Sans CJK SC"/>
                <w:b/>
                <w:color w:val="253C50"/>
                <w:sz w:val="18"/>
              </w:rPr>
              <w:t>场景</w:t>
            </w:r>
          </w:p>
        </w:tc>
        <w:tc>
          <w:tcPr>
            <w:tcW w:type="dxa" w:w="3402"/>
            <w:shd w:fill="EAF1F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60" w:before="60" w:line="276" w:lineRule="auto"/>
            </w:pPr>
            <w:r>
              <w:rPr>
                <w:rFonts w:ascii="Calibri" w:hAnsi="Calibri" w:eastAsia="Noto Sans CJK SC"/>
                <w:b/>
                <w:color w:val="253C50"/>
                <w:sz w:val="18"/>
              </w:rPr>
              <w:t>交互能力</w:t>
            </w:r>
          </w:p>
        </w:tc>
        <w:tc>
          <w:tcPr>
            <w:tcW w:type="dxa" w:w="4309"/>
            <w:shd w:fill="EAF1F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60" w:before="60" w:line="276" w:lineRule="auto"/>
            </w:pPr>
            <w:r>
              <w:rPr>
                <w:rFonts w:ascii="Calibri" w:hAnsi="Calibri" w:eastAsia="Noto Sans CJK SC"/>
                <w:b/>
                <w:color w:val="253C50"/>
                <w:sz w:val="18"/>
              </w:rPr>
              <w:t>重点证据</w:t>
            </w:r>
          </w:p>
        </w:tc>
      </w:tr>
      <w:tr>
        <w:trPr>
          <w:cantSplit/>
        </w:trPr>
        <w:tc>
          <w:tcPr>
            <w:tcW w:type="dxa" w:w="2041"/>
            <w:shd w:fill="F7FAFC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60" w:before="60" w:line="276" w:lineRule="auto"/>
            </w:pPr>
            <w:r>
              <w:rPr>
                <w:rFonts w:ascii="Calibri" w:hAnsi="Calibri" w:eastAsia="Noto Sans CJK SC"/>
                <w:b w:val="0"/>
                <w:color w:val="253C50"/>
                <w:sz w:val="18"/>
              </w:rPr>
              <w:t>旋钮与模块</w:t>
            </w:r>
          </w:p>
        </w:tc>
        <w:tc>
          <w:tcPr>
            <w:tcW w:type="dxa" w:w="3402"/>
            <w:shd w:fill="F7FAFC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60" w:before="60" w:line="276" w:lineRule="auto"/>
            </w:pPr>
            <w:r>
              <w:rPr>
                <w:rFonts w:ascii="Calibri" w:hAnsi="Calibri" w:eastAsia="Noto Sans CJK SC"/>
                <w:b w:val="0"/>
                <w:color w:val="253C50"/>
                <w:sz w:val="18"/>
              </w:rPr>
              <w:t>角度参数、临时检查、恢复旧任务</w:t>
            </w:r>
          </w:p>
        </w:tc>
        <w:tc>
          <w:tcPr>
            <w:tcW w:type="dxa" w:w="4309"/>
            <w:shd w:fill="F7FAFC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60" w:before="60" w:line="276" w:lineRule="auto"/>
            </w:pPr>
            <w:r>
              <w:rPr>
                <w:rFonts w:ascii="Calibri" w:hAnsi="Calibri" w:eastAsia="Noto Sans CJK SC"/>
                <w:b w:val="0"/>
                <w:color w:val="253C50"/>
                <w:sz w:val="18"/>
              </w:rPr>
              <w:t>任务状态与精确提示的连续性</w:t>
            </w:r>
          </w:p>
        </w:tc>
      </w:tr>
      <w:tr>
        <w:trPr>
          <w:cantSplit/>
        </w:trPr>
        <w:tc>
          <w:tcPr>
            <w:tcW w:type="dxa" w:w="2041"/>
            <w:shd w:fill="FFFFFF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60" w:before="60" w:line="276" w:lineRule="auto"/>
            </w:pPr>
            <w:r>
              <w:rPr>
                <w:rFonts w:ascii="Calibri" w:hAnsi="Calibri" w:eastAsia="Noto Sans CJK SC"/>
                <w:b w:val="0"/>
                <w:color w:val="253C50"/>
                <w:sz w:val="18"/>
              </w:rPr>
              <w:t>插头与插座</w:t>
            </w:r>
          </w:p>
        </w:tc>
        <w:tc>
          <w:tcPr>
            <w:tcW w:type="dxa" w:w="3402"/>
            <w:shd w:fill="FFFFFF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60" w:before="60" w:line="276" w:lineRule="auto"/>
            </w:pPr>
            <w:r>
              <w:rPr>
                <w:rFonts w:ascii="Calibri" w:hAnsi="Calibri" w:eastAsia="Noto Sans CJK SC"/>
                <w:b w:val="0"/>
                <w:color w:val="253C50"/>
                <w:sz w:val="18"/>
              </w:rPr>
              <w:t>空间锚点、运动演示、暂停继续</w:t>
            </w:r>
          </w:p>
        </w:tc>
        <w:tc>
          <w:tcPr>
            <w:tcW w:type="dxa" w:w="4309"/>
            <w:shd w:fill="FFFFFF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60" w:before="60" w:line="276" w:lineRule="auto"/>
            </w:pPr>
            <w:r>
              <w:rPr>
                <w:rFonts w:ascii="Calibri" w:hAnsi="Calibri" w:eastAsia="Noto Sans CJK SC"/>
                <w:b w:val="0"/>
                <w:color w:val="253C50"/>
                <w:sz w:val="18"/>
              </w:rPr>
              <w:t>三维方向与深度关系</w:t>
            </w:r>
          </w:p>
        </w:tc>
      </w:tr>
      <w:tr>
        <w:trPr>
          <w:cantSplit/>
        </w:trPr>
        <w:tc>
          <w:tcPr>
            <w:tcW w:type="dxa" w:w="2041"/>
            <w:shd w:fill="F7FAFC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60" w:before="60" w:line="276" w:lineRule="auto"/>
            </w:pPr>
            <w:r>
              <w:rPr>
                <w:rFonts w:ascii="Calibri" w:hAnsi="Calibri" w:eastAsia="Noto Sans CJK SC"/>
                <w:b w:val="0"/>
                <w:color w:val="253C50"/>
                <w:sz w:val="18"/>
              </w:rPr>
              <w:t>积木搭建</w:t>
            </w:r>
          </w:p>
        </w:tc>
        <w:tc>
          <w:tcPr>
            <w:tcW w:type="dxa" w:w="3402"/>
            <w:shd w:fill="F7FAFC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60" w:before="60" w:line="276" w:lineRule="auto"/>
            </w:pPr>
            <w:r>
              <w:rPr>
                <w:rFonts w:ascii="Calibri" w:hAnsi="Calibri" w:eastAsia="Noto Sans CJK SC"/>
                <w:b w:val="0"/>
                <w:color w:val="253C50"/>
                <w:sz w:val="18"/>
              </w:rPr>
              <w:t>顺序计划、对象指代、步骤切换</w:t>
            </w:r>
          </w:p>
        </w:tc>
        <w:tc>
          <w:tcPr>
            <w:tcW w:type="dxa" w:w="4309"/>
            <w:shd w:fill="F7FAFC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60" w:before="60" w:line="276" w:lineRule="auto"/>
            </w:pPr>
            <w:r>
              <w:rPr>
                <w:rFonts w:ascii="Calibri" w:hAnsi="Calibri" w:eastAsia="Noto Sans CJK SC"/>
                <w:b w:val="0"/>
                <w:color w:val="253C50"/>
                <w:sz w:val="18"/>
              </w:rPr>
              <w:t>相同接口对不同内容的复用</w:t>
            </w:r>
          </w:p>
        </w:tc>
      </w:tr>
    </w:tbl>
    <w:p>
      <w:pPr>
        <w:spacing w:after="0"/>
      </w:pPr>
    </w:p>
    <w:p>
      <w:r>
        <w:rPr>
          <w:rFonts w:ascii="Calibri" w:hAnsi="Calibri" w:eastAsia="Noto Sans CJK SC"/>
        </w:rPr>
        <w:t>多场景用于展示控制方式的复用，受控实验用于解释收益。页面刷新、模型响应和实际 CGH 更新分别计时。示意响应面板、真实波场仿真、光学测量和用户结果分别保存。</w:t>
      </w:r>
    </w:p>
    <w:p>
      <w:r>
        <w:br w:type="page"/>
      </w:r>
    </w:p>
    <w:p>
      <w:pPr>
        <w:pStyle w:val="Heading1"/>
      </w:pPr>
      <w:r>
        <w:t>05  面向光学论文的写作骨架</w:t>
      </w:r>
    </w:p>
    <w:p>
      <w:pPr>
        <w:pStyle w:val="Heading2"/>
      </w:pPr>
      <w:r>
        <w:t>建议题目</w:t>
      </w:r>
    </w:p>
    <w:p>
      <w:r>
        <w:rPr>
          <w:rFonts w:ascii="Calibri" w:hAnsi="Calibri" w:eastAsia="Noto Sans CJK SC"/>
        </w:rPr>
        <w:t>HoloCue: Task-Conditioned Axial Response Control for Interactive Holographic Guidance</w:t>
      </w:r>
    </w:p>
    <w:p>
      <w:r>
        <w:rPr>
          <w:rFonts w:ascii="Calibri" w:hAnsi="Calibri" w:eastAsia="Noto Sans CJK SC"/>
        </w:rPr>
        <w:t>中文可以使用“面向交互式全息引导的任务条件化轴向响应控制”。项目简称服务于代码协作，论文题目突出研究对象与控制能力。</w:t>
      </w:r>
    </w:p>
    <w:p>
      <w:pPr>
        <w:pStyle w:val="Heading2"/>
      </w:pPr>
      <w:r>
        <w:t>引言推进方式</w:t>
      </w:r>
    </w:p>
    <w:p>
      <w:r>
        <w:rPr>
          <w:rFonts w:ascii="Calibri" w:hAnsi="Calibri" w:eastAsia="Noto Sans CJK SC"/>
        </w:rPr>
        <w:t>第一段从具体显示问题进入。多步骤交互包含正在操作的对象和需要保留的后续信息，不同提示对精细程度和可见范围的需求随任务改变。全息重建提供真实深度表达，为这种差异化组织提供了可控制的光学维度。</w:t>
      </w:r>
    </w:p>
    <w:p>
      <w:r>
        <w:rPr>
          <w:rFonts w:ascii="Calibri" w:hAnsi="Calibri" w:eastAsia="Noto Sans CJK SC"/>
        </w:rPr>
        <w:t>第二段介绍已有基础。高效 Gaussian 波场生成、瞳孔相关焦深控制和语义交互分别提供计算、光学与任务输入。本文关注它们之间的具体连接，即如何将任务角色转为可执行的轴向响应，并在有限表示预算下保持交互连续。</w:t>
      </w:r>
    </w:p>
    <w:p>
      <w:r>
        <w:rPr>
          <w:rFonts w:ascii="Calibri" w:hAnsi="Calibri" w:eastAsia="Noto Sans CJK SC"/>
        </w:rPr>
        <w:t>第三段提出 HoloCue。语言模型解析任务与临时变化，确定性映射选取 Gaussian 数量和经标定的宽度配置，版本化状态把语义计划连接到持续显示。实验围绕参数可控性、光学呈现和任务效用形成相互衔接的证据。</w:t>
      </w:r>
    </w:p>
    <w:p>
      <w:pPr>
        <w:pStyle w:val="Heading2"/>
      </w:pPr>
      <w:r>
        <w:t>贡献可以这样陈述</w:t>
      </w:r>
    </w:p>
    <w:p>
      <w:r>
        <w:rPr>
          <w:rFonts w:ascii="Calibri" w:hAnsi="Calibri" w:eastAsia="Noto Sans CJK SC"/>
        </w:rPr>
        <w:t>本文提出任务条件化的全息轴向响应控制，将精确操作与上下文保留转成可测量的显示需求。本文构建受预算约束的 Gaussian 提示表示，通过角色、重要性和深度需求生成可复现的显示配置。本文建立支持临时打断与恢复的交互系统，并设计跨光学测量与任务行为的验证协议。</w:t>
      </w:r>
    </w:p>
    <w:p>
      <w:r>
        <w:rPr>
          <w:rFonts w:ascii="Calibri" w:hAnsi="Calibri" w:eastAsia="Noto Sans CJK SC"/>
        </w:rPr>
        <w:t>正式投稿时，最后一句按真实完成的实验与发现改写。已测结果写入摘要和结果段，尚未完成的目标保留在研究计划中。</w:t>
      </w:r>
    </w:p>
    <w:p>
      <w:pPr>
        <w:pStyle w:val="Heading2"/>
      </w:pPr>
      <w:r>
        <w:t>摘要讨论稿</w:t>
      </w:r>
    </w:p>
    <w:p>
      <w:r>
        <w:rPr>
          <w:rFonts w:ascii="Calibri" w:hAnsi="Calibri" w:eastAsia="Noto Sans CJK SC"/>
        </w:rPr>
        <w:t>交互式全息引导需要同时呈现当前操作与后续信息，而这些提示对精细程度和轴向可见范围的需求随任务变化。本文提出 HoloCue，将任务语义映射为受预算约束的 Gaussian 提示和经标定的轴向响应。语言模型解析用户指令与临时任务变化，确定性映射生成表示数量和宽度配置，显式状态支持提示切换、参数保留与任务恢复。系统围绕光学响应、显示效率和任务执行建立统一验证链路，为任务相关的全息信息组织提供一种可实现的框架。</w:t>
      </w:r>
    </w:p>
    <w:p>
      <w:r>
        <w:br w:type="page"/>
      </w:r>
    </w:p>
    <w:p>
      <w:pPr>
        <w:pStyle w:val="Heading1"/>
      </w:pPr>
      <w:r>
        <w:t>06  合作分工与阅读入口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41"/>
        <w:gridCol w:w="3402"/>
        <w:gridCol w:w="4309"/>
      </w:tblGrid>
      <w:tr>
        <w:trPr>
          <w:tblHeader/>
          <w:cantSplit/>
        </w:trPr>
        <w:tc>
          <w:tcPr>
            <w:tcW w:type="dxa" w:w="2041"/>
            <w:shd w:fill="EAF1F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60" w:before="60" w:line="276" w:lineRule="auto"/>
            </w:pPr>
            <w:r>
              <w:rPr>
                <w:rFonts w:ascii="Calibri" w:hAnsi="Calibri" w:eastAsia="Noto Sans CJK SC"/>
                <w:b/>
                <w:color w:val="253C50"/>
                <w:sz w:val="18"/>
              </w:rPr>
              <w:t>负责人</w:t>
            </w:r>
          </w:p>
        </w:tc>
        <w:tc>
          <w:tcPr>
            <w:tcW w:type="dxa" w:w="3402"/>
            <w:shd w:fill="EAF1F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60" w:before="60" w:line="276" w:lineRule="auto"/>
            </w:pPr>
            <w:r>
              <w:rPr>
                <w:rFonts w:ascii="Calibri" w:hAnsi="Calibri" w:eastAsia="Noto Sans CJK SC"/>
                <w:b/>
                <w:color w:val="253C50"/>
                <w:sz w:val="18"/>
              </w:rPr>
              <w:t>本阶段交付</w:t>
            </w:r>
          </w:p>
        </w:tc>
        <w:tc>
          <w:tcPr>
            <w:tcW w:type="dxa" w:w="4309"/>
            <w:shd w:fill="EAF1F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60" w:before="60" w:line="276" w:lineRule="auto"/>
            </w:pPr>
            <w:r>
              <w:rPr>
                <w:rFonts w:ascii="Calibri" w:hAnsi="Calibri" w:eastAsia="Noto Sans CJK SC"/>
                <w:b/>
                <w:color w:val="253C50"/>
                <w:sz w:val="18"/>
              </w:rPr>
              <w:t>后续连接点</w:t>
            </w:r>
          </w:p>
        </w:tc>
      </w:tr>
      <w:tr>
        <w:trPr>
          <w:cantSplit/>
        </w:trPr>
        <w:tc>
          <w:tcPr>
            <w:tcW w:type="dxa" w:w="2041"/>
            <w:shd w:fill="F7FAFC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60" w:before="60" w:line="276" w:lineRule="auto"/>
            </w:pPr>
            <w:r>
              <w:rPr>
                <w:rFonts w:ascii="Calibri" w:hAnsi="Calibri" w:eastAsia="Noto Sans CJK SC"/>
                <w:b w:val="0"/>
                <w:color w:val="253C50"/>
                <w:sz w:val="18"/>
              </w:rPr>
              <w:t>Agent 与仿真侧</w:t>
            </w:r>
          </w:p>
        </w:tc>
        <w:tc>
          <w:tcPr>
            <w:tcW w:type="dxa" w:w="3402"/>
            <w:shd w:fill="F7FAFC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60" w:before="60" w:line="276" w:lineRule="auto"/>
            </w:pPr>
            <w:r>
              <w:rPr>
                <w:rFonts w:ascii="Calibri" w:hAnsi="Calibri" w:eastAsia="Noto Sans CJK SC"/>
                <w:b w:val="0"/>
                <w:color w:val="253C50"/>
                <w:sz w:val="18"/>
              </w:rPr>
              <w:t>本地模型、语义协议、状态管理、Blender 与 Viser、任务测试。</w:t>
            </w:r>
          </w:p>
        </w:tc>
        <w:tc>
          <w:tcPr>
            <w:tcW w:type="dxa" w:w="4309"/>
            <w:shd w:fill="F7FAFC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60" w:before="60" w:line="276" w:lineRule="auto"/>
            </w:pPr>
            <w:r>
              <w:rPr>
                <w:rFonts w:ascii="Calibri" w:hAnsi="Calibri" w:eastAsia="Noto Sans CJK SC"/>
                <w:b w:val="0"/>
                <w:color w:val="253C50"/>
                <w:sz w:val="18"/>
              </w:rPr>
              <w:t>输出有版本的显示包，读取合作方标定。</w:t>
            </w:r>
          </w:p>
        </w:tc>
      </w:tr>
      <w:tr>
        <w:trPr>
          <w:cantSplit/>
        </w:trPr>
        <w:tc>
          <w:tcPr>
            <w:tcW w:type="dxa" w:w="2041"/>
            <w:shd w:fill="FFFFFF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60" w:before="60" w:line="276" w:lineRule="auto"/>
            </w:pPr>
            <w:r>
              <w:rPr>
                <w:rFonts w:ascii="Calibri" w:hAnsi="Calibri" w:eastAsia="Noto Sans CJK SC"/>
                <w:b w:val="0"/>
                <w:color w:val="253C50"/>
                <w:sz w:val="18"/>
              </w:rPr>
              <w:t>全息光学侧</w:t>
            </w:r>
          </w:p>
        </w:tc>
        <w:tc>
          <w:tcPr>
            <w:tcW w:type="dxa" w:w="3402"/>
            <w:shd w:fill="FFFFFF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60" w:before="60" w:line="276" w:lineRule="auto"/>
            </w:pPr>
            <w:r>
              <w:rPr>
                <w:rFonts w:ascii="Calibri" w:hAnsi="Calibri" w:eastAsia="Noto Sans CJK SC"/>
                <w:b w:val="0"/>
                <w:color w:val="253C50"/>
                <w:sz w:val="18"/>
              </w:rPr>
              <w:t>Gaussian 与 σ 定义、N–σ 标定、真实 CGH、相位编码、SLM 和光学测量。</w:t>
            </w:r>
          </w:p>
        </w:tc>
        <w:tc>
          <w:tcPr>
            <w:tcW w:type="dxa" w:w="4309"/>
            <w:shd w:fill="FFFFFF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60" w:before="60" w:line="276" w:lineRule="auto"/>
            </w:pPr>
            <w:r>
              <w:rPr>
                <w:rFonts w:ascii="Calibri" w:hAnsi="Calibri" w:eastAsia="Noto Sans CJK SC"/>
                <w:b w:val="0"/>
                <w:color w:val="253C50"/>
                <w:sz w:val="18"/>
              </w:rPr>
              <w:t>提供标定文件、可运行后端和测量数据。</w:t>
            </w:r>
          </w:p>
        </w:tc>
      </w:tr>
      <w:tr>
        <w:trPr>
          <w:cantSplit/>
        </w:trPr>
        <w:tc>
          <w:tcPr>
            <w:tcW w:type="dxa" w:w="2041"/>
            <w:shd w:fill="F7FAFC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60" w:before="60" w:line="276" w:lineRule="auto"/>
            </w:pPr>
            <w:r>
              <w:rPr>
                <w:rFonts w:ascii="Calibri" w:hAnsi="Calibri" w:eastAsia="Noto Sans CJK SC"/>
                <w:b w:val="0"/>
                <w:color w:val="253C50"/>
                <w:sz w:val="18"/>
              </w:rPr>
              <w:t>共同部分</w:t>
            </w:r>
          </w:p>
        </w:tc>
        <w:tc>
          <w:tcPr>
            <w:tcW w:type="dxa" w:w="3402"/>
            <w:shd w:fill="F7FAFC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60" w:before="60" w:line="276" w:lineRule="auto"/>
            </w:pPr>
            <w:r>
              <w:rPr>
                <w:rFonts w:ascii="Calibri" w:hAnsi="Calibri" w:eastAsia="Noto Sans CJK SC"/>
                <w:b w:val="0"/>
                <w:color w:val="253C50"/>
                <w:sz w:val="18"/>
              </w:rPr>
              <w:t>选择少量关键任务，确定光学变化与行为指标的对应关系。</w:t>
            </w:r>
          </w:p>
        </w:tc>
        <w:tc>
          <w:tcPr>
            <w:tcW w:type="dxa" w:w="4309"/>
            <w:shd w:fill="F7FAFC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60" w:before="60" w:line="276" w:lineRule="auto"/>
            </w:pPr>
            <w:r>
              <w:rPr>
                <w:rFonts w:ascii="Calibri" w:hAnsi="Calibri" w:eastAsia="Noto Sans CJK SC"/>
                <w:b w:val="0"/>
                <w:color w:val="253C50"/>
                <w:sz w:val="18"/>
              </w:rPr>
              <w:t>完成物理控制到任务价值的证据链。</w:t>
            </w:r>
          </w:p>
        </w:tc>
      </w:tr>
    </w:tbl>
    <w:p>
      <w:pPr>
        <w:spacing w:after="0"/>
      </w:pPr>
    </w:p>
    <w:p>
      <w:r>
        <w:rPr>
          <w:rFonts w:ascii="Calibri" w:hAnsi="Calibri" w:eastAsia="Noto Sans CJK SC"/>
        </w:rPr>
        <w:t>第一阶段的完成标志是本地模型真实运行、三场景联动、打断恢复正确以及参数包可导出。完整论文以光学侧测量和任务验证为依据。各部分按同一套对象、单位、任务版本和标定版本交接。</w:t>
      </w:r>
    </w:p>
    <w:p>
      <w:pPr>
        <w:pStyle w:val="Heading2"/>
      </w:pPr>
      <w:r>
        <w:t>关键参考资料</w:t>
      </w:r>
    </w:p>
    <w:p>
      <w:pPr>
        <w:spacing w:after="160" w:line="276" w:lineRule="auto"/>
      </w:pPr>
      <w:r>
        <w:rPr>
          <w:rFonts w:ascii="Calibri" w:hAnsi="Calibri" w:eastAsia="Noto Sans CJK SC"/>
          <w:b/>
          <w:color w:val="253C50"/>
          <w:sz w:val="19"/>
        </w:rPr>
        <w:t xml:space="preserve">[R01] </w:t>
      </w:r>
      <w:hyperlink r:id="rId14">
        <w:r>
          <w:rPr>
            <w:color w:val="258A88"/>
            <w:sz w:val="19"/>
          </w:rPr>
          <w:t>Gaussian Wave Splatting</w:t>
        </w:r>
      </w:hyperlink>
      <w:r>
        <w:rPr>
          <w:rFonts w:ascii="Calibri" w:hAnsi="Calibri" w:eastAsia="Noto Sans CJK SC"/>
          <w:b w:val="0"/>
          <w:color w:val="63778A"/>
          <w:sz w:val="18"/>
        </w:rPr>
        <w:br/>
        <w:t>SIGGRAPH / ACM TOG，2025。全息表示和波场生成的主要基础。</w:t>
      </w:r>
    </w:p>
    <w:p>
      <w:pPr>
        <w:spacing w:after="160" w:line="276" w:lineRule="auto"/>
      </w:pPr>
      <w:r>
        <w:rPr>
          <w:rFonts w:ascii="Calibri" w:hAnsi="Calibri" w:eastAsia="Noto Sans CJK SC"/>
          <w:b/>
          <w:color w:val="253C50"/>
          <w:sz w:val="19"/>
        </w:rPr>
        <w:t xml:space="preserve">[R02] </w:t>
      </w:r>
      <w:hyperlink r:id="rId15">
        <w:r>
          <w:rPr>
            <w:color w:val="258A88"/>
            <w:sz w:val="19"/>
          </w:rPr>
          <w:t>Random-phase Wave Splatting</w:t>
        </w:r>
      </w:hyperlink>
      <w:r>
        <w:rPr>
          <w:rFonts w:ascii="Calibri" w:hAnsi="Calibri" w:eastAsia="Noto Sans CJK SC"/>
          <w:b w:val="0"/>
          <w:color w:val="63778A"/>
          <w:sz w:val="18"/>
        </w:rPr>
        <w:br/>
        <w:t>arXiv 2508.17480，已读 v2。用随机相位和相应混合方法改善离焦、视差及眼盒表现。</w:t>
      </w:r>
    </w:p>
    <w:p>
      <w:pPr>
        <w:spacing w:after="160" w:line="276" w:lineRule="auto"/>
      </w:pPr>
      <w:r>
        <w:rPr>
          <w:rFonts w:ascii="Calibri" w:hAnsi="Calibri" w:eastAsia="Noto Sans CJK SC"/>
          <w:b/>
          <w:color w:val="253C50"/>
          <w:sz w:val="19"/>
        </w:rPr>
        <w:t xml:space="preserve">[R03] </w:t>
      </w:r>
      <w:hyperlink r:id="rId16">
        <w:r>
          <w:rPr>
            <w:color w:val="258A88"/>
            <w:sz w:val="19"/>
          </w:rPr>
          <w:t>Pupil-Adaptive 3D Holography Beyond Coherent Depth-of-Field</w:t>
        </w:r>
      </w:hyperlink>
      <w:r>
        <w:rPr>
          <w:rFonts w:ascii="Calibri" w:hAnsi="Calibri" w:eastAsia="Noto Sans CJK SC"/>
          <w:b w:val="0"/>
          <w:color w:val="63778A"/>
          <w:sz w:val="18"/>
        </w:rPr>
        <w:br/>
        <w:t>arXiv 2409.00028，2024。瞳孔状态与焦深控制的光学近邻，研究目标为视觉重建。</w:t>
      </w:r>
    </w:p>
    <w:p>
      <w:pPr>
        <w:spacing w:after="160" w:line="276" w:lineRule="auto"/>
      </w:pPr>
      <w:r>
        <w:rPr>
          <w:rFonts w:ascii="Calibri" w:hAnsi="Calibri" w:eastAsia="Noto Sans CJK SC"/>
          <w:b/>
          <w:color w:val="253C50"/>
          <w:sz w:val="19"/>
        </w:rPr>
        <w:t xml:space="preserve">[R04] </w:t>
      </w:r>
      <w:hyperlink r:id="rId17">
        <w:r>
          <w:rPr>
            <w:color w:val="258A88"/>
            <w:sz w:val="19"/>
          </w:rPr>
          <w:t>Semantic Depth of Field</w:t>
        </w:r>
      </w:hyperlink>
      <w:r>
        <w:rPr>
          <w:rFonts w:ascii="Calibri" w:hAnsi="Calibri" w:eastAsia="Noto Sans CJK SC"/>
          <w:b w:val="0"/>
          <w:color w:val="63778A"/>
          <w:sz w:val="18"/>
        </w:rPr>
        <w:br/>
        <w:t>IEEE InfoVis，2001；DOI 10.1109/INFVIS.2001.963286。语义相关性控制图像模糊，适合交代清晰度编码的交互背景。</w:t>
      </w:r>
    </w:p>
    <w:p>
      <w:pPr>
        <w:spacing w:after="160" w:line="276" w:lineRule="auto"/>
      </w:pPr>
      <w:r>
        <w:rPr>
          <w:rFonts w:ascii="Calibri" w:hAnsi="Calibri" w:eastAsia="Noto Sans CJK SC"/>
          <w:b/>
          <w:color w:val="253C50"/>
          <w:sz w:val="19"/>
        </w:rPr>
        <w:t xml:space="preserve">[R05] </w:t>
      </w:r>
      <w:hyperlink r:id="rId18">
        <w:r>
          <w:rPr>
            <w:color w:val="258A88"/>
            <w:sz w:val="19"/>
          </w:rPr>
          <w:t>Tri-Attention Complex-Valued CNN for Multimodal Holographic Digital Human Interaction</w:t>
        </w:r>
      </w:hyperlink>
      <w:r>
        <w:rPr>
          <w:rFonts w:ascii="Calibri" w:hAnsi="Calibri" w:eastAsia="Noto Sans CJK SC"/>
          <w:b w:val="0"/>
          <w:color w:val="63778A"/>
          <w:sz w:val="18"/>
        </w:rPr>
        <w:br/>
        <w:t>Optics Express，2026。多 Agent 与真实全息数字人交互的直接先例。</w:t>
      </w:r>
    </w:p>
    <w:p>
      <w:pPr>
        <w:spacing w:after="160" w:line="276" w:lineRule="auto"/>
      </w:pPr>
      <w:r>
        <w:rPr>
          <w:rFonts w:ascii="Calibri" w:hAnsi="Calibri" w:eastAsia="Noto Sans CJK SC"/>
          <w:b/>
          <w:color w:val="253C50"/>
          <w:sz w:val="19"/>
        </w:rPr>
        <w:t xml:space="preserve">[R06] </w:t>
      </w:r>
      <w:hyperlink r:id="rId19">
        <w:r>
          <w:rPr>
            <w:color w:val="258A88"/>
            <w:sz w:val="19"/>
          </w:rPr>
          <w:t>Guided Reality</w:t>
        </w:r>
      </w:hyperlink>
      <w:r>
        <w:rPr>
          <w:rFonts w:ascii="Calibri" w:hAnsi="Calibri" w:eastAsia="Noto Sans CJK SC"/>
          <w:b w:val="0"/>
          <w:color w:val="63778A"/>
          <w:sz w:val="18"/>
        </w:rPr>
        <w:br/>
        <w:t>UIST，2025；DOI 10.1145/3746059.3747784。大模型生成多种空间指导形式的直接系统参考。</w:t>
      </w:r>
    </w:p>
    <w:p>
      <w:pPr>
        <w:spacing w:after="160" w:line="276" w:lineRule="auto"/>
      </w:pPr>
      <w:r>
        <w:rPr>
          <w:rFonts w:ascii="Calibri" w:hAnsi="Calibri" w:eastAsia="Noto Sans CJK SC"/>
          <w:b/>
          <w:color w:val="253C50"/>
          <w:sz w:val="19"/>
        </w:rPr>
        <w:t xml:space="preserve">[R07] </w:t>
      </w:r>
      <w:hyperlink r:id="rId20">
        <w:r>
          <w:rPr>
            <w:color w:val="258A88"/>
            <w:sz w:val="19"/>
          </w:rPr>
          <w:t>GaussLite: Online Task-Conditioned 3D Gaussian Splatting for Real-Time Robotic Mapping</w:t>
        </w:r>
      </w:hyperlink>
      <w:r>
        <w:rPr>
          <w:rFonts w:ascii="Calibri" w:hAnsi="Calibri" w:eastAsia="Noto Sans CJK SC"/>
          <w:b w:val="0"/>
          <w:color w:val="63778A"/>
          <w:sz w:val="18"/>
        </w:rPr>
        <w:br/>
        <w:t>arXiv 2606.30809，2026。机器人建图的任务相关预算、密度与尺度控制，可选跨领域背景。</w:t>
      </w:r>
    </w:p>
    <w:p>
      <w:r>
        <w:rPr>
          <w:rFonts w:ascii="Calibri" w:hAnsi="Calibri" w:eastAsia="Noto Sans CJK SC"/>
        </w:rPr>
        <w:t>完整资源表见 08_相关工作与资源索引.md。阶段一执行计划、场景协议、接口和服务器约束分别见 04 至 07 号文档。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992" w:right="1049" w:bottom="935" w:left="1049" w:header="369" w:footer="36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Noto Sans CJK SC"/>
        <w:b w:val="0"/>
        <w:color w:val="63778A"/>
        <w:sz w:val="16"/>
      </w:rPr>
      <w:t>内部讨论稿    2026.09.15</w:t>
    </w:r>
    <w:r>
      <w:t xml:space="preserve">      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Calibri" w:hAnsi="Calibri" w:eastAsia="Noto Sans CJK SC"/>
        <w:b/>
        <w:color w:val="63778A"/>
        <w:sz w:val="17"/>
      </w:rPr>
      <w:t>HOLOCUE     研究与开发手册 01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93" w:lineRule="auto" w:after="140"/>
    </w:pPr>
    <w:rPr>
      <w:rFonts w:ascii="Calibri" w:hAnsi="Calibri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200"/>
      <w:outlineLvl w:val="0"/>
    </w:pPr>
    <w:rPr>
      <w:rFonts w:asciiTheme="majorHAnsi" w:eastAsiaTheme="majorEastAsia" w:hAnsiTheme="majorHAnsi" w:cstheme="majorBidi" w:ascii="Calibri" w:hAnsi="Calibri" w:eastAsia="Noto Sans CJK SC"/>
      <w:b/>
      <w:bCs/>
      <w:color w:val="253C5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200"/>
      <w:outlineLvl w:val="1"/>
    </w:pPr>
    <w:rPr>
      <w:rFonts w:asciiTheme="majorHAnsi" w:eastAsiaTheme="majorEastAsia" w:hAnsiTheme="majorHAnsi" w:cstheme="majorBidi" w:ascii="Calibri" w:hAnsi="Calibri" w:eastAsia="Noto Sans CJK SC"/>
      <w:b/>
      <w:bCs/>
      <w:color w:val="253C5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00" w:line="240" w:lineRule="auto" w:before="0"/>
      <w:contextualSpacing/>
    </w:pPr>
    <w:rPr>
      <w:rFonts w:asciiTheme="majorHAnsi" w:eastAsiaTheme="majorEastAsia" w:hAnsiTheme="majorHAnsi" w:cstheme="majorBidi" w:ascii="Calibri" w:hAnsi="Calibri" w:eastAsia="Noto Sans CJK SC"/>
      <w:b/>
      <w:color w:val="253C50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40" w:line="293" w:lineRule="auto"/>
    </w:pPr>
    <w:rPr>
      <w:rFonts w:ascii="Calibri" w:hAnsi="Calibri" w:eastAsia="Noto Sans CJK SC"/>
      <w:sz w:val="21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93" w:lineRule="auto" w:after="140"/>
    </w:pPr>
    <w:rPr>
      <w:rFonts w:ascii="Calibri" w:hAnsi="Calibri" w:eastAsia="Noto Sans CJK SC"/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hyperlink" Target="https://bchao1.github.io/gaussian-wave-splatting/" TargetMode="External"/><Relationship Id="rId15" Type="http://schemas.openxmlformats.org/officeDocument/2006/relationships/hyperlink" Target="https://arxiv.org/html/2508.17480v2" TargetMode="External"/><Relationship Id="rId16" Type="http://schemas.openxmlformats.org/officeDocument/2006/relationships/hyperlink" Target="https://arxiv.org/abs/2409.00028" TargetMode="External"/><Relationship Id="rId17" Type="http://schemas.openxmlformats.org/officeDocument/2006/relationships/hyperlink" Target="https://eagereyes.org/publications/Kosara-InfoVis-2001" TargetMode="External"/><Relationship Id="rId18" Type="http://schemas.openxmlformats.org/officeDocument/2006/relationships/hyperlink" Target="https://opticapublishing.figshare.com/collections/Tri-Attention_Complex-Valued_CNN_for_Multimodal_Holographic_Digital_Human_Interaction/8348008" TargetMode="External"/><Relationship Id="rId19" Type="http://schemas.openxmlformats.org/officeDocument/2006/relationships/hyperlink" Target="https://arxiv.org/html/2508.03547v1" TargetMode="External"/><Relationship Id="rId20" Type="http://schemas.openxmlformats.org/officeDocument/2006/relationships/hyperlink" Target="https://arxiv.org/html/2606.30809v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HoloCue
任务驱动的全息焦深提示</dc:title>
  <dc:subject>任务驱动的全息焦深提示</dc:subject>
  <dc:creator>HoloCue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