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给开发者</w:t>
        <w:br/>
        <w:t>Agent 与仿真环境调研</w:t>
      </w:r>
    </w:p>
    <w:p>
      <w:r>
        <w:rPr>
          <w:rFonts w:ascii="Calibri" w:hAnsi="Calibri" w:eastAsia="Noto Sans CJK SC"/>
        </w:rPr>
        <w:t>HoloCue 第一版实现说明  ·  2026 年 9 月 15 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4F3"/>
          </w:tcPr>
          <w:p>
            <w:pPr>
              <w:spacing w:before="140" w:after="140"/>
            </w:pPr>
            <w:r>
              <w:rPr>
                <w:rFonts w:ascii="Calibri" w:hAnsi="Calibri" w:eastAsia="Noto Sans CJK SC"/>
                <w:b/>
                <w:color w:val="258A88"/>
                <w:sz w:val="22"/>
              </w:rPr>
              <w:t>目标是尽快得到真实模型驱动、可暂停恢复、可观察和可复现的交互原型。优先把任务状态和两个可视化环境接稳，再接入合作方的光学后端。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92364"/>
            <wp:docPr id="1" name="Picture 1" descr="图 1  开发侧负责语义、状态和显示包，光学端通过独立适配器接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9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CJK SC"/>
          <w:b w:val="0"/>
          <w:color w:val="63778A"/>
          <w:sz w:val="18"/>
        </w:rPr>
        <w:t>图 1  开发侧负责语义、状态和显示包，光学端通过独立适配器接入。</w:t>
      </w:r>
    </w:p>
    <w:p>
      <w:pPr>
        <w:pStyle w:val="Heading2"/>
      </w:pPr>
      <w:r>
        <w:t>选定的轻量架构</w:t>
      </w:r>
    </w:p>
    <w:p>
      <w:r>
        <w:rPr>
          <w:rFonts w:ascii="Calibri" w:hAnsi="Calibri" w:eastAsia="Noto Sans CJK SC"/>
        </w:rPr>
        <w:t>Qwen3.5 通过兼容 OpenAI 的 HTTP 接口输出严格 JSON。LangGraph 仅含解释与场景校验两个节点。SQLite 保存权威任务状态，FastAPI 暴露会话与显示包，Viser 提供主要交互界面，Blender 共用场景和任务版本。</w:t>
      </w:r>
    </w:p>
    <w:p>
      <w:r>
        <w:rPr>
          <w:rFonts w:ascii="Calibri" w:hAnsi="Calibri" w:eastAsia="Noto Sans CJK SC"/>
        </w:rPr>
        <w:t>这个组织便于调试语言理解、状态迁移和显示动作。提示词存放在 prompts/planner.md，几何与任务清单独立存放。软件已经给出基础实现，现场执行重点是依赖适配、真实模型和视觉联调。</w:t>
      </w:r>
    </w:p>
    <w:p>
      <w:r>
        <w:rPr>
          <w:rFonts w:ascii="Calibri" w:hAnsi="Calibri" w:eastAsia="Noto Sans CJK SC"/>
        </w:rPr>
        <w:t>第一阶段输入是已知场景与任务历史。API 保留图像输入位置，后续可以加入画面识别；当前结果按实际使用的信息条件记录。</w:t>
      </w:r>
    </w:p>
    <w:p>
      <w:r>
        <w:br w:type="page"/>
      </w:r>
    </w:p>
    <w:p>
      <w:pPr>
        <w:pStyle w:val="Heading1"/>
      </w:pPr>
      <w:r>
        <w:t>01  Agent 框架与状态选择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框架或参考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有用的能力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本项目的取舍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LangGraph [R11][R12]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显式流程、状态和中断机制。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选为两个节点的规划流程；应用 SQLite 负责唯一权威任务状态。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smolagents [R13]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轻量工具调用与交互修改计划示例。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适合读实现思路，当前项目保持既定 LangGraph，避免双框架维护。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Guided Reality [R06]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任务步骤和多种空间提示。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借鉴提示类型与步骤组织，显示物理由光学模块定义。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LangGraph 的 interrupt 在指定节点处暂停，恢复时节点可能重新运行。因此应用层要明确区分等待用户信息、取消旧请求和暂停显示动作。[R11]</w:t>
      </w:r>
    </w:p>
    <w:p>
      <w:pPr>
        <w:pStyle w:val="Heading2"/>
      </w:pPr>
      <w:r>
        <w:t>任务打断如何实现</w:t>
      </w:r>
    </w:p>
    <w:p>
      <w:r>
        <w:rPr>
          <w:rFonts w:ascii="Calibri" w:hAnsi="Calibri" w:eastAsia="Noto Sans CJK SC"/>
        </w:rPr>
        <w:t>每次用户请求携带 expected_revision 和 request_id。服务先增加 epoch 并冻结旧动作，然后提交模型推理。返回结果必须仍属于当前 epoch，才能通过事务更新任务。旧请求即使稍后返回，也不能覆盖新计划。</w:t>
      </w:r>
    </w:p>
    <w:p>
      <w:r>
        <w:rPr>
          <w:rFonts w:ascii="Calibri" w:hAnsi="Calibri" w:eastAsia="Noto Sans CJK SC"/>
        </w:rPr>
        <w:t>interrupt 把完整队列压入挂起栈，包括角度、对象和 task_id。resume 从栈中恢复原任务。临时任务由用户明确确认完成，动画结束不触发任务完成。未知对象、能力缺失或格式错误可见报错，原始模型输出保留。</w:t>
      </w:r>
    </w:p>
    <w:p>
      <w:r>
        <w:rPr>
          <w:rFonts w:ascii="Calibri" w:hAnsi="Calibri" w:eastAsia="Noto Sans CJK SC"/>
        </w:rPr>
        <w:t>LLM 的实验价值放在开放语言、约束组合与临时改计划。程序中的状态机负责执行正确性，两者分别评价。</w:t>
      </w:r>
    </w:p>
    <w:p>
      <w:r>
        <w:br w:type="page"/>
      </w:r>
    </w:p>
    <w:p>
      <w:pPr>
        <w:pStyle w:val="Heading1"/>
      </w:pPr>
      <w:r>
        <w:t>02  Blender 与 Viser 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工具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在原型中的作用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可直接使用的资源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Viser [R14][R18]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网页场景、自然语言输入、暂停与恢复、参数面板、动态提示。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viewer.py，九组 GLB，三个 scene JSON。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Blender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资产检查、可复现渲染、同会话动作预览。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build_blender_scene.py，blender_live_bridge.py。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Blender MCP [R15]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辅助尝试资产与布局。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作为参考；正式闭环使用固定受控接口。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BlenderProc [R16]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后续批量数据、深度和标注生成。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阶段一复用手工定义的清单，后续可对接。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Blender 的 bpy 操作在主线程执行。桥接脚本用工作线程拉取 HTTP 状态，再由定时器应用到场景。Viser 与 Blender 使用同一份 DisplayPacket，避免两套独立任务逻辑。</w:t>
      </w:r>
    </w:p>
    <w:p>
      <w:r>
        <w:rPr>
          <w:rFonts w:ascii="Calibri" w:hAnsi="Calibri" w:eastAsia="Noto Sans CJK SC"/>
        </w:rPr>
        <w:t>用户看到的半透明模块或插头是显示副本，动作不修改真实场景对象。当前 σ 面板是显式标注的概念预览；真实焦点扫描数据接入后，可在同一位置展示测量结果。</w:t>
      </w:r>
    </w:p>
    <w:p>
      <w:pPr>
        <w:pStyle w:val="Heading2"/>
      </w:pPr>
      <w:r>
        <w:t>三个场景需要看清楚</w:t>
      </w:r>
    </w:p>
    <w:p>
      <w:r>
        <w:rPr>
          <w:rFonts w:ascii="Calibri" w:hAnsi="Calibri" w:eastAsia="Noto Sans CJK SC"/>
        </w:rPr>
        <w:t>旋钮场景检查环形箭头方向、30 度参数和 C 背面演示。插接场景检查插头朝向与插入锚点。积木场景检查对象指代、运动终点和后续步骤。所有资产用米和 Z 向上，GLB 保留颜色，OBJ 便于兼容导入。</w:t>
      </w:r>
    </w:p>
    <w:p>
      <w:r>
        <w:rPr>
          <w:rFonts w:ascii="Calibri" w:hAnsi="Calibri" w:eastAsia="Noto Sans CJK SC"/>
        </w:rPr>
        <w:t>包内已经包含可导入模型。实际 .blend 文件由 4029 的已有 Blender 构建，现场截图应来自该构建结果。</w:t>
      </w:r>
    </w:p>
    <w:p>
      <w:r>
        <w:br w:type="page"/>
      </w:r>
    </w:p>
    <w:p>
      <w:pPr>
        <w:pStyle w:val="Heading1"/>
      </w:pPr>
      <w:r>
        <w:t>03  本地模型与资源约束</w:t>
      </w:r>
    </w:p>
    <w:p>
      <w:r>
        <w:rPr>
          <w:rFonts w:ascii="Calibri" w:hAnsi="Calibri" w:eastAsia="Noto Sans CJK SC"/>
        </w:rPr>
        <w:t>官方提供 Qwen3.5-4B 和 9B 的多模态 checkpoint，并给出 vLLM、SGLang 部署方法。第一版先用 4B 验证结构化计划；9B 在独立配置下评估复杂指令。API 使用 enable_thinking=false，模型输出经 JSON Schema 与场景约束双重检查。[R08–R10]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配置项</w:t>
            </w:r>
          </w:p>
        </w:tc>
        <w:tc>
          <w:tcPr>
            <w:tcW w:type="dxa" w:w="6860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第一阶段设置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项目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4029 的 /home/hdd3/zhanghaonan/projects/holocue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模型来源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先查既有 checkpoint；4028 Models 只读复制；需要时下载官方权重。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计算设备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仅物理 GPU 1、2；默认 4B 使用一张获准空闲卡。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推理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8192 上下文、1 并发、1600 输出上限、显存比例默认 0.70。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环境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应用 .venv 与模型 .venv-model 分开；复用既有 Blender。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服务器型号、显存和管理员红线尚待现场盘点。默认保留至少 32 GiB 或总内存 20%，模型进程树 RSS 上限 32 GiB；真实规范更严格时按真实规范执行。资源守卫以 GPU UUID 建立掩码，拒绝其他物理卡。</w:t>
      </w:r>
    </w:p>
    <w:p>
      <w:r>
        <w:rPr>
          <w:rFonts w:ascii="Calibri" w:hAnsi="Calibri" w:eastAsia="Noto Sans CJK SC"/>
        </w:rPr>
        <w:t>部署脚本是经过静态检查的启动基础。执行前核对已装引擎的版本与 --help；对不兼容参数进行有记录的适配，固定可运行版本。官方大上下文示例与本项目的短任务设置分别理解。</w:t>
      </w:r>
    </w:p>
    <w:p>
      <w:r>
        <w:rPr>
          <w:rFonts w:ascii="Calibri" w:hAnsi="Calibri" w:eastAsia="Noto Sans CJK SC"/>
        </w:rPr>
        <w:t>模型文件检查包含配置、分片头和实际长度；Hub 哈希验证或源文件哈希另行记录。模型加载成功、文件校验成功和方法性能是不同验收项。</w:t>
      </w:r>
    </w:p>
    <w:p>
      <w:r>
        <w:br w:type="page"/>
      </w:r>
    </w:p>
    <w:p>
      <w:pPr>
        <w:pStyle w:val="Heading1"/>
      </w:pPr>
      <w:r>
        <w:t>04  现场验收与后续接口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验收层</w:t>
            </w:r>
          </w:p>
        </w:tc>
        <w:tc>
          <w:tcPr>
            <w:tcW w:type="dxa" w:w="6860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应保存的证据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软件核心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测试结果、状态快照、请求幂等与过期响应检查。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真实模型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live 模式、原始请求与响应、三场景结果、中断恢复测试。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视觉联动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实际 Viser 截图、Blender 渲染、同会话联动、中断前后视频。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资源与复现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GPU UUID、显存和主机峰值、引擎版本、模型来源、重启命令。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独立复核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三个真实 SubAgent 会话的报告与证据哈希，覆盖安全、视觉、架构。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交付环境已运行核心测试，36 项通过，1 项 LangGraph 集成因缺少依赖跳过。Blender、Viser 和本地 Qwen 的现场联调交给执行工具完成。replay 是独立软件测试入口，最终验收必须使用真实 live 模型。</w:t>
      </w:r>
    </w:p>
    <w:p>
      <w:pPr>
        <w:pStyle w:val="Heading2"/>
      </w:pPr>
      <w:r>
        <w:t>给光学侧预留的接口</w:t>
      </w:r>
    </w:p>
    <w:p>
      <w:r>
        <w:rPr>
          <w:rFonts w:ascii="Calibri" w:hAnsi="Calibri" w:eastAsia="Noto Sans CJK SC"/>
        </w:rPr>
        <w:t>DisplayPacket 统一对象、动作、N、σ、单位、坐标、任务版本和标定版本。以后只需增加一个实现 capabilities、submit、cancel 的适配器，将其送往内网光学服务。API 默认环回，远程演示用 SSH，内网开放需要认证配置。</w:t>
      </w:r>
    </w:p>
    <w:p>
      <w:r>
        <w:rPr>
          <w:rFonts w:ascii="Calibri" w:hAnsi="Calibri" w:eastAsia="Noto Sans CJK SC"/>
        </w:rPr>
        <w:t>第一阶段保持单操作会话、显式完成、最多八条提示。后续加入视觉识别、语音或真实状态反馈时，沿相同语义协议扩展。新增感知条件需要在实验中单独报告。</w:t>
      </w:r>
    </w:p>
    <w:p>
      <w:pPr>
        <w:pStyle w:val="Heading2"/>
      </w:pPr>
      <w:r>
        <w:t>执行入口</w:t>
      </w:r>
    </w:p>
    <w:p>
      <w:r>
        <w:rPr>
          <w:rFonts w:ascii="Calibri" w:hAnsi="Calibri" w:eastAsia="Noto Sans CJK SC"/>
        </w:rPr>
        <w:t>GOAL_EXECUTION_PROMPT.md 已包含完整阶段、停止条件和三次独立校验要求。AGENTS.md 给出研究与服务器边界。执行者应先读这两份文件，再按 04 至 07 号详细协议实施。</w:t>
      </w:r>
    </w:p>
    <w:p>
      <w:r>
        <w:br w:type="page"/>
      </w:r>
    </w:p>
    <w:p>
      <w:pPr>
        <w:pStyle w:val="Heading1"/>
      </w:pPr>
      <w:r>
        <w:t>05  开发资源与复现入口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[R08] </w:t>
      </w:r>
      <w:hyperlink r:id="rId12">
        <w:r>
          <w:rPr>
            <w:color w:val="258A88"/>
            <w:sz w:val="19"/>
          </w:rPr>
          <w:t>Qwen3.5-4B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官方模型卡；访问 2026-09-15。第一阶段本地模型；按官方接口关闭 thinking 并输出结构化结果。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[R09] </w:t>
      </w:r>
      <w:hyperlink r:id="rId13">
        <w:r>
          <w:rPr>
            <w:color w:val="258A88"/>
            <w:sz w:val="19"/>
          </w:rPr>
          <w:t>Qwen3.5-9B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官方模型卡；访问 2026-09-15。在资源审查后开展的另一组模型实验。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[R10] </w:t>
      </w:r>
      <w:hyperlink r:id="rId14">
        <w:r>
          <w:rPr>
            <w:color w:val="258A88"/>
            <w:sz w:val="19"/>
          </w:rPr>
          <w:t>vLLM Qwen3.5 deployment recipe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官方文档；访问 2026-09-15。引擎兼容性、启动参数和非思考模式依据。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[R11] </w:t>
      </w:r>
      <w:hyperlink r:id="rId15">
        <w:r>
          <w:rPr>
            <w:color w:val="258A88"/>
            <w:sz w:val="19"/>
          </w:rPr>
          <w:t>LangGraph Interrupts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官方文档；访问 2026-09-15。图内暂停与恢复；应用需另外处理外部抢占与重复副作用。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[R12] </w:t>
      </w:r>
      <w:hyperlink r:id="rId16">
        <w:r>
          <w:rPr>
            <w:color w:val="258A88"/>
            <w:sz w:val="19"/>
          </w:rPr>
          <w:t>LangGraph Persistence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官方文档；访问 2026-09-15。本项目用 SQLite 保持任务状态，避免双份权威状态。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[R13] </w:t>
      </w:r>
      <w:hyperlink r:id="rId17">
        <w:r>
          <w:rPr>
            <w:color w:val="258A88"/>
            <w:sz w:val="19"/>
          </w:rPr>
          <w:t>smolagents Customize Agent Plan Interactively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官方示例；访问 2026-09-15。轻量 Agent 的计划审阅和修改实现。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[R14] </w:t>
      </w:r>
      <w:hyperlink r:id="rId18">
        <w:r>
          <w:rPr>
            <w:color w:val="258A88"/>
            <w:sz w:val="19"/>
          </w:rPr>
          <w:t>Viser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官方代码与文档；访问 2026-09-15。Python 驱动网页三维场景和交互控件。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[R15] </w:t>
      </w:r>
      <w:hyperlink r:id="rId19">
        <w:r>
          <w:rPr>
            <w:color w:val="258A88"/>
            <w:sz w:val="19"/>
          </w:rPr>
          <w:t>Blender MCP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社区项目；访问 2026-09-15。适合资产创建探索；执行任意 Python 的能力需要隔离。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[R16] </w:t>
      </w:r>
      <w:hyperlink r:id="rId20">
        <w:r>
          <w:rPr>
            <w:color w:val="258A88"/>
            <w:sz w:val="19"/>
          </w:rPr>
          <w:t>BlenderProc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官方项目；访问 2026-09-15。批量生成 RGB、深度和标注，作为后续数据准备工具。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[R18] </w:t>
      </w:r>
      <w:hyperlink r:id="rId21">
        <w:r>
          <w:rPr>
            <w:color w:val="258A88"/>
            <w:sz w:val="19"/>
          </w:rPr>
          <w:t>Viser mesh example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官方示例；访问 2026-09-15。GLB 资产和网格显示的 API 依据。</w:t>
      </w:r>
    </w:p>
    <w:p>
      <w:r>
        <w:rPr>
          <w:rFonts w:ascii="Calibri" w:hAnsi="Calibri" w:eastAsia="Noto Sans CJK SC"/>
        </w:rPr>
        <w:t>这些资料用于理解和适配接口。具体依赖版本以 4029 实际通过的环境为准，并保存 resolved requirements。失败、参数变更和模型更换保留原始记录，便于区分代码问题、环境问题与模型能力。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b w:val="0"/>
        <w:color w:val="63778A"/>
        <w:sz w:val="16"/>
      </w:rPr>
      <w:t>内部讨论稿    2026.09.15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/>
        <w:color w:val="63778A"/>
        <w:sz w:val="17"/>
      </w:rPr>
      <w:t>HOLOCUE     研究与开发手册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53C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93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40"/>
    </w:pPr>
    <w:rPr>
      <w:rFonts w:ascii="Calibri" w:hAnsi="Calibri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uggingface.co/Qwen/Qwen3.5-4B" TargetMode="External"/><Relationship Id="rId13" Type="http://schemas.openxmlformats.org/officeDocument/2006/relationships/hyperlink" Target="https://huggingface.co/Qwen/Qwen3.5-9B" TargetMode="External"/><Relationship Id="rId14" Type="http://schemas.openxmlformats.org/officeDocument/2006/relationships/hyperlink" Target="https://docs.vllm.ai/projects/recipes/en/latest/Qwen/Qwen3.5.html" TargetMode="External"/><Relationship Id="rId15" Type="http://schemas.openxmlformats.org/officeDocument/2006/relationships/hyperlink" Target="https://docs.langchain.com/oss/python/langgraph/interrupts" TargetMode="External"/><Relationship Id="rId16" Type="http://schemas.openxmlformats.org/officeDocument/2006/relationships/hyperlink" Target="https://docs.langchain.com/oss/python/langgraph/persistence" TargetMode="External"/><Relationship Id="rId17" Type="http://schemas.openxmlformats.org/officeDocument/2006/relationships/hyperlink" Target="https://huggingface.co/docs/smolagents/examples/plan_customization" TargetMode="External"/><Relationship Id="rId18" Type="http://schemas.openxmlformats.org/officeDocument/2006/relationships/hyperlink" Target="https://github.com/viser-project/viser" TargetMode="External"/><Relationship Id="rId19" Type="http://schemas.openxmlformats.org/officeDocument/2006/relationships/hyperlink" Target="https://github.com/ahujasid/blender-mcp" TargetMode="External"/><Relationship Id="rId20" Type="http://schemas.openxmlformats.org/officeDocument/2006/relationships/hyperlink" Target="https://github.com/DLR-RM/BlenderProc" TargetMode="External"/><Relationship Id="rId21" Type="http://schemas.openxmlformats.org/officeDocument/2006/relationships/hyperlink" Target="https://viser.studio/main/examples/scene/mesh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给开发者
Agent 与仿真环境调研</dc:title>
  <dc:subject>任务驱动的全息焦深提示</dc:subject>
  <dc:creator>HoloCue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