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i/>
          <w:iCs/>
          <w:color w:val="999999"/>
          <w:sz w:val="20"/>
          <w:szCs w:val="20"/>
        </w:rPr>
        <w:t xml:space="preserve">[LOGO INSTITUCIÓN]</w:t>
      </w:r>
    </w:p>
    <w:p>
      <w:pPr>
        <w:spacing w:after="200" w:before="800"/>
        <w:jc w:val="center"/>
      </w:pPr>
      <w:r>
        <w:rPr>
          <w:b/>
          <w:bCs/>
          <w:color w:val="7F7F7F"/>
          <w:sz w:val="26"/>
          <w:szCs w:val="26"/>
        </w:rPr>
        <w:t xml:space="preserve">PROYECTO FINAL — PASAJE DE GRADO</w:t>
      </w:r>
    </w:p>
    <w:p>
      <w:pPr>
        <w:spacing w:after="200" w:before="200"/>
        <w:jc w:val="center"/>
      </w:pPr>
      <w:r>
        <w:rPr>
          <w:b/>
          <w:bCs/>
          <w:color w:val="1F3864"/>
          <w:sz w:val="44"/>
          <w:szCs w:val="44"/>
        </w:rPr>
        <w:t xml:space="preserve">[Título del Proyecto]</w:t>
      </w:r>
    </w:p>
    <w:p>
      <w:pPr>
        <w:spacing w:after="800"/>
        <w:jc w:val="center"/>
      </w:pPr>
      <w:r>
        <w:rPr>
          <w:i/>
          <w:iCs/>
          <w:color w:val="44546A"/>
          <w:sz w:val="24"/>
          <w:szCs w:val="24"/>
        </w:rPr>
        <w:t xml:space="preserve">Estudio de Requerimientos y Documentación Técnica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Campo</w:t>
            </w:r>
          </w:p>
        </w:tc>
        <w:tc>
          <w:tcPr>
            <w:tcW w:type="dxa" w:w="6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Detalle</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Unidad Curricular</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r>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Hito / Entrega</w:t>
            </w:r>
          </w:p>
        </w:tc>
        <w:tc>
          <w:tcPr>
            <w:tcW w:type="dxa" w:w="6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[N° de hito]</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Versión del Documento</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[v0.1]</w:t>
            </w:r>
          </w:p>
        </w:tc>
      </w:tr>
      <w:tr>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Fecha</w:t>
            </w:r>
          </w:p>
        </w:tc>
        <w:tc>
          <w:tcPr>
            <w:tcW w:type="dxa" w:w="6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[dd/mm/aaaa]</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Autores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[Nombre 1, Nombre 2, Nombre 3]</w:t>
            </w:r>
          </w:p>
        </w:tc>
      </w:tr>
      <w:tr>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Tutor / Revisor</w:t>
            </w:r>
          </w:p>
        </w:tc>
        <w:tc>
          <w:tcPr>
            <w:tcW w:type="dxa" w:w="6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[Nombre del tutor]</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Estado</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[Borrador / En revisión / Aprobado]</w:t>
            </w:r>
          </w:p>
        </w:tc>
      </w:tr>
    </w:tbl>
    <w:p>
      <w:pPr>
        <w:pBdr>
          <w:left w:val="single" w:color="8EA9DB" w:sz="12" w:space="6"/>
        </w:pBdr>
        <w:shd w:fill="F2F2F2" w:val="clear"/>
        <w:spacing w:after="160"/>
        <w:ind w:left="120"/>
      </w:pPr>
      <w:r>
        <w:rPr>
          <w:b/>
          <w:bCs/>
          <w:i/>
          <w:iCs/>
          <w:color w:val="44546A"/>
          <w:sz w:val="20"/>
          <w:szCs w:val="20"/>
        </w:rPr>
        <w:t xml:space="preserve">Nota sobre esta plantilla: </w:t>
      </w:r>
      <w:r>
        <w:rPr>
          <w:i/>
          <w:iCs/>
          <w:color w:val="44546A"/>
          <w:sz w:val="20"/>
          <w:szCs w:val="20"/>
        </w:rPr>
        <w:t xml:space="preserve">Este documento es una plantilla de ejemplo y un marco de trabajo general para la documentación del Proyecto Final; no describe un proyecto real ni obligatorio. Cada hito y su alcance son definidos por los docentes de cada unidad curricular, y los requerimientos (funcionales, no funcionales y de calidad) se elaboran a partir de la idea de proyecto propuesta por cada grupo de alumnos. Cualquier caso o catálogo usado como referencia en clase (por ejemplo, un sistema de gestión de biblioteca) tiene fines ilustrativos únicamente y no debe copiarse como si fuera el proyecto a desarrollar.</w:t>
      </w:r>
    </w:p>
    <w:p>
      <w:r>
        <w:br w:type="page"/>
      </w:r>
    </w:p>
    <w:p>
      <w:pPr>
        <w:pStyle w:val="Heading2"/>
        <w:spacing w:after="120" w:before="260"/>
      </w:pPr>
      <w:r>
        <w:rPr>
          <w:b/>
          <w:bCs/>
          <w:color w:val="1F3864"/>
          <w:sz w:val="24"/>
          <w:szCs w:val="24"/>
        </w:rPr>
        <w:t xml:space="preserve">Historial de Cambios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Registrá cada versión entregada del documento, con formato de fecha consistente (dd/mm/aaaa) en todas las filas.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3800"/>
        <w:gridCol w:w="1600"/>
      </w:tblGrid>
      <w:tr>
        <w:trPr>
          <w:tblHeader/>
        </w:trPr>
        <w:tc>
          <w:tcPr>
            <w:tcW w:type="dxa" w:w="1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Versión</w:t>
            </w:r>
          </w:p>
        </w:tc>
        <w:tc>
          <w:tcPr>
            <w:tcW w:type="dxa" w:w="1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Fecha</w:t>
            </w:r>
          </w:p>
        </w:tc>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Autor</w:t>
            </w:r>
          </w:p>
        </w:tc>
        <w:tc>
          <w:tcPr>
            <w:tcW w:type="dxa" w:w="3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Descripción del Cambio</w:t>
            </w:r>
          </w:p>
        </w:tc>
        <w:tc>
          <w:tcPr>
            <w:tcW w:type="dxa" w:w="1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Revisor</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v0.1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[dd/mm/aaaa]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[Nombre]</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Creación inicial</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[Nombre]</w:t>
            </w:r>
          </w:p>
        </w:tc>
      </w:tr>
      <w:tr>
        <w:tc>
          <w:tcPr>
            <w:tcW w:type="dxa" w:w="1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w:r>
          </w:p>
        </w:tc>
        <w:tc>
          <w:tcPr>
            <w:tcW w:type="dxa" w:w="1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w:r>
          </w:p>
        </w:tc>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w:r>
          </w:p>
        </w:tc>
        <w:tc>
          <w:tcPr>
            <w:tcW w:type="dxa" w:w="3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w:r>
          </w:p>
        </w:tc>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w:r>
          </w:p>
        </w:tc>
      </w:tr>
    </w:tbl>
    <w:p>
      <w:r>
        <w:br w:type="page"/>
      </w:r>
    </w:p>
    <w:p>
      <w:pPr>
        <w:pStyle w:val="Heading2"/>
        <w:spacing w:after="120" w:before="260"/>
      </w:pPr>
      <w:r>
        <w:rPr>
          <w:b/>
          <w:bCs/>
          <w:color w:val="1F3864"/>
          <w:sz w:val="24"/>
          <w:szCs w:val="24"/>
        </w:rPr>
        <w:t xml:space="preserve">Índice</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Al abrir el documento en Word, hacé clic derecho sobre la tabla y elegí “Actualizar campos” para generar el índice automáticamente a partir de los títulos.</w:t>
      </w:r>
    </w:p>
    <w:sdt>
      <w:sdtPr>
        <w:alias w:val="Índice"/>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Introducción</w:t>
      </w:r>
    </w:p>
    <w:p>
      <w:pPr>
        <w:pStyle w:val="Heading2"/>
        <w:spacing w:after="120" w:before="260"/>
      </w:pPr>
      <w:r>
        <w:rPr>
          <w:b/>
          <w:bCs/>
          <w:color w:val="1F3864"/>
          <w:sz w:val="24"/>
          <w:szCs w:val="24"/>
        </w:rPr>
        <w:t xml:space="preserve">1.1 Propósito</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Explicá en 2-3 oraciones qué problema resuelve el proyecto, para qué cliente/contexto (real o ficticio) fue pensado, y qué stakeholder define las prioridades (ej. un docente, un cliente ficticio).</w:t>
      </w:r>
    </w:p>
    <w:p>
      <w:pPr>
        <w:spacing w:after="140"/>
      </w:pPr>
      <w:r>
        <w:rPr>
          <w:sz w:val="21"/>
          <w:szCs w:val="21"/>
        </w:rPr>
        <w:t xml:space="preserve">[Completar]</w:t>
      </w:r>
    </w:p>
    <w:p>
      <w:pPr>
        <w:pStyle w:val="Heading2"/>
        <w:spacing w:after="120" w:before="260"/>
      </w:pPr>
      <w:r>
        <w:rPr>
          <w:b/>
          <w:bCs/>
          <w:color w:val="1F3864"/>
          <w:sz w:val="24"/>
          <w:szCs w:val="24"/>
        </w:rPr>
        <w:t xml:space="preserve">1.2 Alcance</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Delimitá qué módulos, procesos y unidades curriculares abarca la entrega. Incluí también qué queda explícitamente fuera de alcance de este hito.</w:t>
      </w:r>
    </w:p>
    <w:p>
      <w:pPr>
        <w:spacing w:after="140"/>
      </w:pPr>
      <w:r>
        <w:rPr>
          <w:sz w:val="21"/>
          <w:szCs w:val="21"/>
        </w:rPr>
        <w:t xml:space="preserve">[Completar — Incluye:]</w:t>
      </w:r>
    </w:p>
    <w:p>
      <w:pPr>
        <w:spacing w:after="140"/>
      </w:pPr>
      <w:r>
        <w:rPr>
          <w:sz w:val="21"/>
          <w:szCs w:val="21"/>
        </w:rPr>
        <w:t xml:space="preserve">[Completar — Queda fuera de alcance:]</w:t>
      </w:r>
    </w:p>
    <w:p>
      <w:pPr>
        <w:pStyle w:val="Heading2"/>
        <w:spacing w:after="120" w:before="260"/>
      </w:pPr>
      <w:r>
        <w:rPr>
          <w:b/>
          <w:bCs/>
          <w:color w:val="1F3864"/>
          <w:sz w:val="24"/>
          <w:szCs w:val="24"/>
        </w:rPr>
        <w:t xml:space="preserve">1.3 Referencias Normativas y Técnicas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Estándares que enmarcan el documento (no hace falta modificar esta lista salvo que sumen otros específicos de su stack tecnológico) más la documentación técnica de las tecnologías que usa el proyecto (agregar enlaces oficiales: lenguaje, framework, motor de BD, etc.).</w:t>
      </w:r>
    </w:p>
    <w:p>
      <w:pPr>
        <w:pStyle w:val="Heading3"/>
        <w:spacing w:after="100" w:before="180"/>
      </w:pPr>
      <w:r>
        <w:rPr>
          <w:b/>
          <w:bCs/>
          <w:i/>
          <w:iCs/>
          <w:sz w:val="22"/>
          <w:szCs w:val="22"/>
        </w:rPr>
        <w:t xml:space="preserve">Modelo de Calidad y Requisitos (familia SQuaRE)</w:t>
      </w:r>
    </w:p>
    <w:p>
      <w:pPr>
        <w:pStyle w:val="ListParagraph"/>
        <w:numPr>
          <w:ilvl w:val="0"/>
          <w:numId w:val="1"/>
        </w:numPr>
        <w:spacing w:after="80"/>
      </w:pPr>
      <w:r>
        <w:rPr>
          <w:sz w:val="21"/>
          <w:szCs w:val="21"/>
        </w:rPr>
        <w:t xml:space="preserve">ISO/IEC 25010:2023 — Modelo de Calidad del Producto (2ª edición, 9 características — reemplaza a ISO/IEC 9126 y a la edición 2011 de 25010).</w:t>
      </w:r>
    </w:p>
    <w:p>
      <w:pPr>
        <w:pStyle w:val="ListParagraph"/>
        <w:numPr>
          <w:ilvl w:val="0"/>
          <w:numId w:val="1"/>
        </w:numPr>
        <w:spacing w:after="80"/>
      </w:pPr>
      <w:r>
        <w:rPr>
          <w:sz w:val="21"/>
          <w:szCs w:val="21"/>
        </w:rPr>
        <w:t xml:space="preserve">ISO/IEC 2503n (ej. ISO/IEC 25030) — Requisitos de Calidad: identificación, especificación y validación de las necesidades del cliente.</w:t>
      </w:r>
    </w:p>
    <w:p>
      <w:pPr>
        <w:pStyle w:val="ListParagraph"/>
        <w:numPr>
          <w:ilvl w:val="0"/>
          <w:numId w:val="1"/>
        </w:numPr>
        <w:spacing w:after="80"/>
      </w:pPr>
      <w:r>
        <w:rPr>
          <w:sz w:val="21"/>
          <w:szCs w:val="21"/>
        </w:rPr>
        <w:t xml:space="preserve">ISO/IEC 2504n (ej. ISO/IEC 25040 y 25041) — Evaluación de la Calidad: pasos prácticos para que desarrolladores o evaluadores externos ejecuten las pruebas.</w:t>
      </w:r>
    </w:p>
    <w:p>
      <w:pPr>
        <w:pStyle w:val="Heading3"/>
        <w:spacing w:after="100" w:before="180"/>
      </w:pPr>
      <w:r>
        <w:rPr>
          <w:b/>
          <w:bCs/>
          <w:i/>
          <w:iCs/>
          <w:sz w:val="22"/>
          <w:szCs w:val="22"/>
        </w:rPr>
        <w:t xml:space="preserve">Estándares Accesorios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Estos completan el marco de calidad pero no son obligatorios citarlos todos — sumá los que apliquen a tu proyecto.</w:t>
      </w:r>
    </w:p>
    <w:p>
      <w:pPr>
        <w:pStyle w:val="ListParagraph"/>
        <w:numPr>
          <w:ilvl w:val="0"/>
          <w:numId w:val="1"/>
        </w:numPr>
        <w:spacing w:after="80"/>
      </w:pPr>
      <w:r>
        <w:rPr>
          <w:sz w:val="21"/>
          <w:szCs w:val="21"/>
        </w:rPr>
        <w:t xml:space="preserve">ISO/IEC 25002 — Modelos de Calidad: Visión General y Guía de Uso (cómo se relacionan las normas de la familia SQuaRE entre sí).</w:t>
      </w:r>
    </w:p>
    <w:p>
      <w:pPr>
        <w:pStyle w:val="ListParagraph"/>
        <w:numPr>
          <w:ilvl w:val="0"/>
          <w:numId w:val="1"/>
        </w:numPr>
        <w:spacing w:after="80"/>
      </w:pPr>
      <w:r>
        <w:rPr>
          <w:sz w:val="21"/>
          <w:szCs w:val="21"/>
        </w:rPr>
        <w:t xml:space="preserve">ISO/IEC 25019:2023 — Modelo de Calidad en Uso (desde la edición 2023 es una norma separada de 25010, mide la experiencia del usuario real en contexto).</w:t>
      </w:r>
    </w:p>
    <w:p>
      <w:pPr>
        <w:pStyle w:val="ListParagraph"/>
        <w:numPr>
          <w:ilvl w:val="0"/>
          <w:numId w:val="1"/>
        </w:numPr>
        <w:spacing w:after="80"/>
      </w:pPr>
      <w:r>
        <w:rPr>
          <w:sz w:val="21"/>
          <w:szCs w:val="21"/>
        </w:rPr>
        <w:t xml:space="preserve">ISO/IEC 27001 — Gestión de Seguridad de la Información (recomendada si el proyecto maneja datos sensibles, autenticación o credenciales).</w:t>
      </w:r>
    </w:p>
    <w:p>
      <w:pPr>
        <w:pStyle w:val="ListParagraph"/>
        <w:numPr>
          <w:ilvl w:val="0"/>
          <w:numId w:val="1"/>
        </w:numPr>
        <w:spacing w:after="80"/>
      </w:pPr>
      <w:r>
        <w:rPr>
          <w:sz w:val="21"/>
          <w:szCs w:val="21"/>
        </w:rPr>
        <w:t xml:space="preserve">Scrum Guide (edición vigente) — marco de referencia si el equipo gestiona el proyecto con Scrum.</w:t>
      </w:r>
    </w:p>
    <w:p>
      <w:pPr>
        <w:pStyle w:val="Heading2"/>
        <w:spacing w:after="120" w:before="260"/>
      </w:pPr>
      <w:r>
        <w:rPr>
          <w:b/>
          <w:bCs/>
          <w:color w:val="1F3864"/>
          <w:sz w:val="24"/>
          <w:szCs w:val="24"/>
        </w:rPr>
        <w:t xml:space="preserve">1.4 Definiciones y Acrónimos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Sumá los términos técnicos propios del dominio del proyecto (protocolos, formatos de archivo, entidades del sistema, roles de usuario). Los generales ya están cargados.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Término</w:t>
            </w:r>
          </w:p>
        </w:tc>
        <w:tc>
          <w:tcPr>
            <w:tcW w:type="dxa" w:w="7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Definición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RF</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Requerimiento Funcional</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RNF</w:t>
            </w:r>
          </w:p>
        </w:tc>
        <w:tc>
          <w:tcPr>
            <w:tcW w:type="dxa" w:w="7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Requerimiento No Funcional</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UML</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Unified Modeling Language</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GPO</w:t>
            </w:r>
          </w:p>
        </w:tc>
        <w:tc>
          <w:tcPr>
            <w:tcW w:type="dxa" w:w="7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Group Policy Object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SQuaRE</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Systems and Software Quality Requirements and Evaluation — familia de normas ISO/IEC 25000</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[Agregar]</w:t>
            </w:r>
          </w:p>
        </w:tc>
        <w:tc>
          <w:tcPr>
            <w:tcW w:type="dxa" w:w="7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[Agregar]</w:t>
            </w:r>
          </w:p>
        </w:tc>
      </w:tr>
    </w:tbl>
    <w:p>
      <w:pPr>
        <w:pStyle w:val="Heading1"/>
        <w:pBdr>
          <w:bottom w:val="single" w:color="1F3864" w:sz="6" w:space="4"/>
        </w:pBdr>
        <w:spacing w:after="200" w:before="400"/>
      </w:pPr>
      <w:r>
        <w:rPr>
          <w:b/>
          <w:bCs/>
          <w:color w:val="1F3864"/>
          <w:sz w:val="30"/>
          <w:szCs w:val="30"/>
        </w:rPr>
        <w:t xml:space="preserve">2. Requerimientos</w:t>
      </w:r>
    </w:p>
    <w:p>
      <w:pPr>
        <w:pStyle w:val="Heading2"/>
        <w:spacing w:after="120" w:before="260"/>
      </w:pPr>
      <w:r>
        <w:rPr>
          <w:b/>
          <w:bCs/>
          <w:color w:val="1F3864"/>
          <w:sz w:val="24"/>
          <w:szCs w:val="24"/>
        </w:rPr>
        <w:t xml:space="preserve">2.1 Especificación de Requisitos de Calidad (ISO/IEC 2503n)</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Antes de listar los RNF, recorré este proceso con tu cliente/tutor — así los requisitos de calidad quedan bien fundamentados y no son “inventados” por el equipo.</w:t>
      </w:r>
    </w:p>
    <w:p>
      <w:pPr>
        <w:pStyle w:val="ListParagraph"/>
        <w:numPr>
          <w:ilvl w:val="0"/>
          <w:numId w:val="1"/>
        </w:numPr>
        <w:spacing w:after="80"/>
      </w:pPr>
      <w:r>
        <w:rPr>
          <w:sz w:val="21"/>
          <w:szCs w:val="21"/>
        </w:rPr>
        <w:t xml:space="preserve">1) Identificar a los interesados (cliente, usuarios finales, tutor) y relevar sus necesidades y expectativas de calidad.</w:t>
      </w:r>
    </w:p>
    <w:p>
      <w:pPr>
        <w:pStyle w:val="ListParagraph"/>
        <w:numPr>
          <w:ilvl w:val="0"/>
          <w:numId w:val="1"/>
        </w:numPr>
        <w:spacing w:after="80"/>
      </w:pPr>
      <w:r>
        <w:rPr>
          <w:sz w:val="21"/>
          <w:szCs w:val="21"/>
        </w:rPr>
        <w:t xml:space="preserve">2) Contextualizar el uso: bajo qué condiciones, restricciones y perfiles de usuario va a operar el sistema.</w:t>
      </w:r>
    </w:p>
    <w:p>
      <w:pPr>
        <w:pStyle w:val="ListParagraph"/>
        <w:numPr>
          <w:ilvl w:val="0"/>
          <w:numId w:val="1"/>
        </w:numPr>
        <w:spacing w:after="80"/>
      </w:pPr>
      <w:r>
        <w:rPr>
          <w:sz w:val="21"/>
          <w:szCs w:val="21"/>
        </w:rPr>
        <w:t xml:space="preserve">3) Traducir esas necesidades en requisitos de calidad medibles, vinculados a las características de ISO/IEC 25010:2023 (ej. “tiempo de respuesta &lt; 3s” para Rendimiento, “backup diario” para Confiabilidad).</w:t>
      </w:r>
    </w:p>
    <w:p>
      <w:pPr>
        <w:pStyle w:val="ListParagraph"/>
        <w:numPr>
          <w:ilvl w:val="0"/>
          <w:numId w:val="1"/>
        </w:numPr>
        <w:spacing w:after="80"/>
      </w:pPr>
      <w:r>
        <w:rPr>
          <w:sz w:val="21"/>
          <w:szCs w:val="21"/>
        </w:rPr>
        <w:t xml:space="preserve">4) Priorizar (MoSCoW: MUST/SHOULD/COULD/WON'T) y validar los requisitos junto al cliente/tutor.</w:t>
      </w:r>
    </w:p>
    <w:p>
      <w:pPr>
        <w:pStyle w:val="Heading2"/>
        <w:spacing w:after="120" w:before="260"/>
      </w:pPr>
      <w:r>
        <w:rPr>
          <w:b/>
          <w:bCs/>
          <w:color w:val="1F3864"/>
          <w:sz w:val="24"/>
          <w:szCs w:val="24"/>
        </w:rPr>
        <w:t xml:space="preserve">2.2 Requerimientos Funcionales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Codificá cada RF como RF-&lt;ÁREA&gt;-NN, agrupando por el área/materia que lo implementa. Esta codificación es la misma que usa el Mapa de Responsabilidades por Materia, así cada equipo sabe exactamente qué le toca redactar y desarrollar.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Código de Área</w:t>
            </w:r>
          </w:p>
        </w:tc>
        <w:tc>
          <w:tcPr>
            <w:tcW w:type="dxa" w:w="3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Materia Responsable</w:t>
            </w:r>
          </w:p>
        </w:tc>
        <w:tc>
          <w:tcPr>
            <w:tcW w:type="dxa" w:w="4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Ejemplo de RF</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ING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Gestión de Proyectos / Ingeniería de Software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RF-ING-01 — Redactar el Estudio de Requerimientos completo</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DB</w:t>
            </w:r>
          </w:p>
        </w:tc>
        <w:tc>
          <w:tcPr>
            <w:tcW w:type="dxa" w:w="3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Bases de Datos</w:t>
            </w:r>
          </w:p>
        </w:tc>
        <w:tc>
          <w:tcPr>
            <w:tcW w:type="dxa" w:w="4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RF-DB-01 — Definir entidades principales del dominio</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LNX</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Redes POSIX</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RF-LNX-01 — Crear script de instalación del servidor</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NET</w:t>
            </w:r>
          </w:p>
        </w:tc>
        <w:tc>
          <w:tcPr>
            <w:tcW w:type="dxa" w:w="3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Redes Microsoft</w:t>
            </w:r>
          </w:p>
        </w:tc>
        <w:tc>
          <w:tcPr>
            <w:tcW w:type="dxa" w:w="4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RF-NET-01 — Diagrama de red del laboratorio/empresa</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PHP / BACK</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Programación (backend)</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RF-PHP-01 — Clase de dominio X con sus operaciones CRUD</w:t>
            </w:r>
          </w:p>
        </w:tc>
      </w:tr>
      <w:tr>
        <w:tc>
          <w:tcPr>
            <w:tcW w:type="dxa" w:w="1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WEB</w:t>
            </w:r>
          </w:p>
        </w:tc>
        <w:tc>
          <w:tcPr>
            <w:tcW w:type="dxa" w:w="3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Programación (frontend/UI)</w:t>
            </w:r>
          </w:p>
        </w:tc>
        <w:tc>
          <w:tcPr>
            <w:tcW w:type="dxa" w:w="4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RF-WEB-01 — Dashboard de administrador</w:t>
            </w:r>
          </w:p>
        </w:tc>
      </w:tr>
    </w:tbl>
    <w:p>
      <w:pPr>
        <w:spacing w:after="140"/>
      </w:pPr>
      <w:r>
        <w:rPr>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00"/>
      </w:tblGrid>
      <w:tr>
        <w:trPr>
          <w:tblHeader/>
        </w:trPr>
        <w:tc>
          <w:tcPr>
            <w:tcW w:type="dxa" w:w="1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ID</w:t>
            </w:r>
          </w:p>
        </w:tc>
        <w:tc>
          <w:tcPr>
            <w:tcW w:type="dxa" w:w="4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Descripción</w:t>
            </w:r>
          </w:p>
        </w:tc>
        <w:tc>
          <w:tcPr>
            <w:tcW w:type="dxa" w:w="4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Criterio de Aceptación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RF-ING-01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r>
        <w:tc>
          <w:tcPr>
            <w:tcW w:type="dxa" w:w="1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RF-DB-01</w:t>
            </w:r>
          </w:p>
        </w:tc>
        <w:tc>
          <w:tcPr>
            <w:tcW w:type="dxa" w:w="4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4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RF-LNX-01</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bl>
    <w:p>
      <w:pPr>
        <w:pStyle w:val="Heading2"/>
        <w:spacing w:after="120" w:before="260"/>
      </w:pPr>
      <w:r>
        <w:rPr>
          <w:b/>
          <w:bCs/>
          <w:color w:val="1F3864"/>
          <w:sz w:val="24"/>
          <w:szCs w:val="24"/>
        </w:rPr>
        <w:t xml:space="preserve">2.3 Requerimientos No Funcionales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Cada RNF debe vincularse a una característica de ISO/IEC 25010:2023 y llevar una prioridad MoSCoW. Esto reemplaza a la lista corrida de texto — usá siempre tabla.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400"/>
        <w:gridCol w:w="1400"/>
      </w:tblGrid>
      <w:tr>
        <w:trPr>
          <w:tblHeader/>
        </w:trPr>
        <w:tc>
          <w:tcPr>
            <w:tcW w:type="dxa" w:w="13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ID</w:t>
            </w:r>
          </w:p>
        </w:tc>
        <w:tc>
          <w:tcPr>
            <w:tcW w:type="dxa" w:w="43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Descripción (medible)</w:t>
            </w:r>
          </w:p>
        </w:tc>
        <w:tc>
          <w:tcPr>
            <w:tcW w:type="dxa" w:w="2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Característica ISO 25010:2023</w:t>
            </w:r>
          </w:p>
        </w:tc>
        <w:tc>
          <w:tcPr>
            <w:tcW w:type="dxa" w:w="1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Prioridad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RNF-01</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 — ej. hash de contraseñas, HTTPS, mitigación CSRF/XSS]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Seguridad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MUST</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RNF-02</w:t>
            </w:r>
          </w:p>
        </w:tc>
        <w:tc>
          <w:tcPr>
            <w:tcW w:type="dxa" w:w="4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 — ej. tiempo de respuesta de listados]</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Rendimiento</w:t>
            </w:r>
          </w:p>
        </w:tc>
        <w:tc>
          <w:tcPr>
            <w:tcW w:type="dxa" w:w="1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SHOULD</w:t>
            </w:r>
          </w:p>
        </w:tc>
      </w:tr>
      <w:t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RNF-03</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 — ej. disponibilidad mensual objetivo]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Confiabilidad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SHOULD</w:t>
            </w:r>
          </w:p>
        </w:tc>
      </w:tr>
      <w:tr>
        <w:tc>
          <w:tcPr>
            <w:tcW w:type="dxa" w:w="1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RNF-04</w:t>
            </w:r>
          </w:p>
        </w:tc>
        <w:tc>
          <w:tcPr>
            <w:tcW w:type="dxa" w:w="43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 — ej. diseño responsive y accesible]</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Capacidad de Interacción</w:t>
            </w:r>
          </w:p>
        </w:tc>
        <w:tc>
          <w:tcPr>
            <w:tcW w:type="dxa" w:w="1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SHOULD</w:t>
            </w:r>
          </w:p>
        </w:tc>
      </w:tr>
    </w:tbl>
    <w:p>
      <w:pPr>
        <w:pStyle w:val="Heading2"/>
        <w:spacing w:after="120" w:before="260"/>
      </w:pPr>
      <w:r>
        <w:rPr>
          <w:b/>
          <w:bCs/>
          <w:color w:val="1F3864"/>
          <w:sz w:val="24"/>
          <w:szCs w:val="24"/>
        </w:rPr>
        <w:t xml:space="preserve">2.4 Restricciones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Limitaciones técnicas, de tiempo, de recursos o normativas que condicionan el proyecto. No la dejes vacía: incluso “se debe usar el servidor provisto por la institución” es una restricción válida.</w:t>
      </w:r>
    </w:p>
    <w:p>
      <w:pPr>
        <w:spacing w:after="140"/>
      </w:pPr>
      <w:r>
        <w:rPr>
          <w:sz w:val="21"/>
          <w:szCs w:val="21"/>
        </w:rPr>
        <w:t xml:space="preserve">[Completar]</w:t>
      </w:r>
    </w:p>
    <w:p>
      <w:pPr>
        <w:pStyle w:val="Heading2"/>
        <w:spacing w:after="120" w:before="260"/>
      </w:pPr>
      <w:r>
        <w:rPr>
          <w:b/>
          <w:bCs/>
          <w:color w:val="1F3864"/>
          <w:sz w:val="24"/>
          <w:szCs w:val="24"/>
        </w:rPr>
        <w:t xml:space="preserve">2.5 Trazabilidad</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Vinculá cada requerimiento con el artefacto que lo implementa, el caso de prueba que lo valida y la evidencia documental. Esta tabla es la que el tribunal va a contrastar contra el código y la demo en la defensa.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3000"/>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Requerimiento</w:t>
            </w:r>
          </w:p>
        </w:tc>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Artefacto que lo Implementa</w:t>
            </w:r>
          </w:p>
        </w:tc>
        <w:tc>
          <w:tcPr>
            <w:tcW w:type="dxa" w:w="2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Caso de Prueba</w:t>
            </w:r>
          </w:p>
        </w:tc>
        <w:tc>
          <w:tcPr>
            <w:tcW w:type="dxa" w:w="3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Evidencia</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RF-ING-01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bl>
    <w:p>
      <w:pPr>
        <w:spacing w:after="200"/>
      </w:pPr>
      <w:r>
        <w:rPr>
          <w:b/>
          <w:bCs/>
          <w:color w:val="7F7F7F"/>
          <w:sz w:val="19"/>
          <w:szCs w:val="19"/>
        </w:rPr>
        <w:t xml:space="preserve">📋 Evaluado en la Matriz como: </w:t>
      </w:r>
      <w:r>
        <w:rPr>
          <w:i/>
          <w:iCs/>
          <w:color w:val="7F7F7F"/>
          <w:sz w:val="19"/>
          <w:szCs w:val="19"/>
        </w:rPr>
        <w:t xml:space="preserve">"Funcionalidad (ISO 25010:2023 — Adecuación Funcional)"</w:t>
      </w:r>
      <w:r>
        <w:rPr>
          <w:color w:val="7F7F7F"/>
          <w:sz w:val="19"/>
          <w:szCs w:val="19"/>
        </w:rPr>
        <w:t xml:space="preserve"> — Capítulos 2.2, 2.3 y 4.5</w:t>
      </w:r>
    </w:p>
    <w:p>
      <w:pPr>
        <w:pStyle w:val="Heading1"/>
        <w:pBdr>
          <w:bottom w:val="single" w:color="1F3864" w:sz="6" w:space="4"/>
        </w:pBdr>
        <w:spacing w:after="200" w:before="400"/>
      </w:pPr>
      <w:r>
        <w:rPr>
          <w:b/>
          <w:bCs/>
          <w:color w:val="1F3864"/>
          <w:sz w:val="30"/>
          <w:szCs w:val="30"/>
        </w:rPr>
        <w:t xml:space="preserve">3. Arquitectura y Diseño</w:t>
      </w:r>
    </w:p>
    <w:p>
      <w:pPr>
        <w:pStyle w:val="Heading2"/>
        <w:spacing w:after="120" w:before="260"/>
      </w:pPr>
      <w:r>
        <w:rPr>
          <w:b/>
          <w:bCs/>
          <w:color w:val="1F3864"/>
          <w:sz w:val="24"/>
          <w:szCs w:val="24"/>
        </w:rPr>
        <w:t xml:space="preserve">3.1 Diagramas Utilizados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Incluí como mínimo: Diagrama de Casos de Uso, Diagrama de Clases, Modelo/Diagrama Entidad-Relación, Diagrama de Despliegue y Diagrama de Red. Si usaste una herramienta de IA (AUG, Astah, Miro AI, draw.io, etc.) para generarlos o refinarlos, mencionalo — pero los diagramas deben ser coherentes con el sistema realmente implementado.</w:t>
      </w:r>
    </w:p>
    <w:p>
      <w:pPr>
        <w:pStyle w:val="Heading3"/>
        <w:spacing w:after="100" w:before="180"/>
      </w:pPr>
      <w:r>
        <w:rPr>
          <w:b/>
          <w:bCs/>
          <w:i/>
          <w:iCs/>
          <w:sz w:val="22"/>
          <w:szCs w:val="22"/>
        </w:rPr>
        <w:t xml:space="preserve">3.1.1 Diagrama de Casos de Uso</w:t>
      </w:r>
    </w:p>
    <w:p>
      <w:pPr>
        <w:spacing w:after="140"/>
      </w:pPr>
      <w:r>
        <w:rPr>
          <w:sz w:val="21"/>
          <w:szCs w:val="21"/>
        </w:rPr>
        <w:t xml:space="preserve">[Insertar diagrama]</w:t>
      </w:r>
    </w:p>
    <w:p>
      <w:pPr>
        <w:pStyle w:val="Heading3"/>
        <w:spacing w:after="100" w:before="180"/>
      </w:pPr>
      <w:r>
        <w:rPr>
          <w:b/>
          <w:bCs/>
          <w:i/>
          <w:iCs/>
          <w:sz w:val="22"/>
          <w:szCs w:val="22"/>
        </w:rPr>
        <w:t xml:space="preserve">3.1.2 Diagrama de Clases</w:t>
      </w:r>
    </w:p>
    <w:p>
      <w:pPr>
        <w:spacing w:after="140"/>
      </w:pPr>
      <w:r>
        <w:rPr>
          <w:sz w:val="21"/>
          <w:szCs w:val="21"/>
        </w:rPr>
        <w:t xml:space="preserve">[Insertar diagrama]</w:t>
      </w:r>
    </w:p>
    <w:p>
      <w:pPr>
        <w:pStyle w:val="Heading3"/>
        <w:spacing w:after="100" w:before="180"/>
      </w:pPr>
      <w:r>
        <w:rPr>
          <w:b/>
          <w:bCs/>
          <w:i/>
          <w:iCs/>
          <w:sz w:val="22"/>
          <w:szCs w:val="22"/>
        </w:rPr>
        <w:t xml:space="preserve">3.1.3 Modelo y Diagrama Entidad-Relación</w:t>
      </w:r>
    </w:p>
    <w:p>
      <w:pPr>
        <w:spacing w:after="140"/>
      </w:pPr>
      <w:r>
        <w:rPr>
          <w:sz w:val="21"/>
          <w:szCs w:val="21"/>
        </w:rPr>
        <w:t xml:space="preserve">[Insertar diagrama]</w:t>
      </w:r>
    </w:p>
    <w:p>
      <w:pPr>
        <w:pStyle w:val="Heading3"/>
        <w:spacing w:after="100" w:before="180"/>
      </w:pPr>
      <w:r>
        <w:rPr>
          <w:b/>
          <w:bCs/>
          <w:i/>
          <w:iCs/>
          <w:sz w:val="22"/>
          <w:szCs w:val="22"/>
        </w:rPr>
        <w:t xml:space="preserve">3.1.4 Diagrama de Despliegue</w:t>
      </w:r>
    </w:p>
    <w:p>
      <w:pPr>
        <w:spacing w:after="140"/>
      </w:pPr>
      <w:r>
        <w:rPr>
          <w:sz w:val="21"/>
          <w:szCs w:val="21"/>
        </w:rPr>
        <w:t xml:space="preserve">[Insertar diagrama — arquitectura de red, servidores, BD y software]</w:t>
      </w:r>
    </w:p>
    <w:p>
      <w:pPr>
        <w:pStyle w:val="Heading3"/>
        <w:spacing w:after="100" w:before="180"/>
      </w:pPr>
      <w:r>
        <w:rPr>
          <w:b/>
          <w:bCs/>
          <w:i/>
          <w:iCs/>
          <w:sz w:val="22"/>
          <w:szCs w:val="22"/>
        </w:rPr>
        <w:t xml:space="preserve">3.1.5 Diagrama de Red</w:t>
      </w:r>
    </w:p>
    <w:p>
      <w:pPr>
        <w:spacing w:after="140"/>
      </w:pPr>
      <w:r>
        <w:rPr>
          <w:sz w:val="21"/>
          <w:szCs w:val="21"/>
        </w:rPr>
        <w:t xml:space="preserve">[Insertar diagrama — topología lógica de la infraestructura]</w:t>
      </w:r>
    </w:p>
    <w:p>
      <w:pPr>
        <w:pStyle w:val="Heading2"/>
        <w:spacing w:after="120" w:before="260"/>
      </w:pPr>
      <w:r>
        <w:rPr>
          <w:b/>
          <w:bCs/>
          <w:color w:val="1F3864"/>
          <w:sz w:val="24"/>
          <w:szCs w:val="24"/>
        </w:rPr>
        <w:t xml:space="preserve">3.2 Descripción de Componentes y Relaciones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Para cada componente/entidad principal, una línea de descripción; y debajo, las relaciones relevantes entre ellos.</w:t>
      </w:r>
    </w:p>
    <w:p>
      <w:pPr>
        <w:spacing w:after="140"/>
      </w:pPr>
      <w:r>
        <w:rPr>
          <w:sz w:val="21"/>
          <w:szCs w:val="21"/>
        </w:rPr>
        <w:t xml:space="preserve">[Completar — Componentes principales:]</w:t>
      </w:r>
    </w:p>
    <w:p>
      <w:pPr>
        <w:spacing w:after="140"/>
      </w:pPr>
      <w:r>
        <w:rPr>
          <w:sz w:val="21"/>
          <w:szCs w:val="21"/>
        </w:rPr>
        <w:t xml:space="preserve">[Completar — Relaciones relevantes:]</w:t>
      </w:r>
    </w:p>
    <w:p>
      <w:pPr>
        <w:spacing w:after="200"/>
      </w:pPr>
      <w:r>
        <w:rPr>
          <w:b/>
          <w:bCs/>
          <w:color w:val="7F7F7F"/>
          <w:sz w:val="19"/>
          <w:szCs w:val="19"/>
        </w:rPr>
        <w:t xml:space="preserve">📋 Evaluado en la Matriz como: </w:t>
      </w:r>
      <w:r>
        <w:rPr>
          <w:i/>
          <w:iCs/>
          <w:color w:val="7F7F7F"/>
          <w:sz w:val="19"/>
          <w:szCs w:val="19"/>
        </w:rPr>
        <w:t xml:space="preserve">"Diseño y Modelado (UML)"</w:t>
      </w:r>
      <w:r>
        <w:rPr>
          <w:color w:val="7F7F7F"/>
          <w:sz w:val="19"/>
          <w:szCs w:val="19"/>
        </w:rPr>
        <w:t xml:space="preserve"> — Capítulos 3.1 y 3.2</w:t>
      </w:r>
    </w:p>
    <w:p>
      <w:pPr>
        <w:pStyle w:val="Heading2"/>
        <w:spacing w:after="120" w:before="260"/>
      </w:pPr>
      <w:r>
        <w:rPr>
          <w:b/>
          <w:bCs/>
          <w:color w:val="1F3864"/>
          <w:sz w:val="24"/>
          <w:szCs w:val="24"/>
        </w:rPr>
        <w:t xml:space="preserve">3.3 Infraestructura POSIX — Servicios y Seguridad</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Materia responsable: Redes POSIX. Documentá los servicios corriendo en los servidores Linux/POSIX (DNS, DHCP, Web, SSH, correo, etc.), los scripts de configuración y permisos utilizados, y la parte de seguridad perimetral: reglas de Firewall (qué tráfico permiten/bloquean y por qué) y el hardening aplicado a cada servicio.</w:t>
      </w:r>
    </w:p>
    <w:p>
      <w:pPr>
        <w:spacing w:after="140"/>
      </w:pPr>
      <w:r>
        <w:rPr>
          <w:sz w:val="21"/>
          <w:szCs w:val="21"/>
        </w:rPr>
        <w:t xml:space="preserve">[Completar]</w:t>
      </w:r>
    </w:p>
    <w:p>
      <w:pPr>
        <w:pStyle w:val="Heading2"/>
        <w:spacing w:after="120" w:before="260"/>
      </w:pPr>
      <w:r>
        <w:rPr>
          <w:b/>
          <w:bCs/>
          <w:color w:val="1F3864"/>
          <w:sz w:val="24"/>
          <w:szCs w:val="24"/>
        </w:rPr>
        <w:t xml:space="preserve">3.4 Infraestructura Microsoft — Directorio Activo, GPOs y DNS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Materia responsable: Redes Microsoft. Documentá la configuración de Active Directory, las GPOs aplicadas por Unidad Organizativa y el DNS de dominio. Explicá qué pasa si un usuario intenta saltarse una restricción impuesta por una GPO.</w:t>
      </w:r>
    </w:p>
    <w:p>
      <w:pPr>
        <w:spacing w:after="140"/>
      </w:pPr>
      <w:r>
        <w:rPr>
          <w:sz w:val="21"/>
          <w:szCs w:val="21"/>
        </w:rPr>
        <w:t xml:space="preserve">[Completar]</w:t>
      </w:r>
    </w:p>
    <w:p>
      <w:pPr>
        <w:spacing w:after="200"/>
      </w:pPr>
      <w:r>
        <w:rPr>
          <w:b/>
          <w:bCs/>
          <w:color w:val="7F7F7F"/>
          <w:sz w:val="19"/>
          <w:szCs w:val="19"/>
        </w:rPr>
        <w:t xml:space="preserve">📋 Evaluado en la Matriz como: </w:t>
      </w:r>
      <w:r>
        <w:rPr>
          <w:i/>
          <w:iCs/>
          <w:color w:val="7F7F7F"/>
          <w:sz w:val="19"/>
          <w:szCs w:val="19"/>
        </w:rPr>
        <w:t xml:space="preserve">"Fiabilidad y Seguridad (ISO 25010:2023 — Confiabilidad, Seguridad y Seguridad Operacional)"</w:t>
      </w:r>
      <w:r>
        <w:rPr>
          <w:color w:val="7F7F7F"/>
          <w:sz w:val="19"/>
          <w:szCs w:val="19"/>
        </w:rPr>
        <w:t xml:space="preserve"> — Capítulos 3.3, 3.4 y 4.5</w:t>
      </w:r>
    </w:p>
    <w:p>
      <w:pPr>
        <w:pStyle w:val="Heading2"/>
        <w:spacing w:after="120" w:before="260"/>
      </w:pPr>
      <w:r>
        <w:rPr>
          <w:b/>
          <w:bCs/>
          <w:color w:val="1F3864"/>
          <w:sz w:val="24"/>
          <w:szCs w:val="24"/>
        </w:rPr>
        <w:t xml:space="preserve">3.5 Herramientas Utilizadas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Listá las herramientas de diseño y documentación (draw.io, Figma/Balsamiq, Astah, etc.) y el entorno de desarrollo utilizado.</w:t>
      </w:r>
    </w:p>
    <w:p>
      <w:pPr>
        <w:spacing w:after="140"/>
      </w:pPr>
      <w:r>
        <w:rPr>
          <w:sz w:val="21"/>
          <w:szCs w:val="21"/>
        </w:rPr>
        <w:t xml:space="preserve">[Completar]</w:t>
      </w:r>
    </w:p>
    <w:p>
      <w:pPr>
        <w:pStyle w:val="Heading1"/>
        <w:pBdr>
          <w:bottom w:val="single" w:color="1F3864" w:sz="6" w:space="4"/>
        </w:pBdr>
        <w:spacing w:after="200" w:before="400"/>
      </w:pPr>
      <w:r>
        <w:rPr>
          <w:b/>
          <w:bCs/>
          <w:color w:val="1F3864"/>
          <w:sz w:val="30"/>
          <w:szCs w:val="30"/>
        </w:rPr>
        <w:t xml:space="preserve">4. Plan de Implementación</w:t>
      </w:r>
    </w:p>
    <w:p>
      <w:pPr>
        <w:pStyle w:val="Heading2"/>
        <w:spacing w:after="120" w:before="260"/>
      </w:pPr>
      <w:r>
        <w:rPr>
          <w:b/>
          <w:bCs/>
          <w:color w:val="1F3864"/>
          <w:sz w:val="24"/>
          <w:szCs w:val="24"/>
        </w:rPr>
        <w:t xml:space="preserve">4.1 Metodología Ágil</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Describí el marco de trabajo (Scrum y/o XP): roles del equipo, Product Backlog, Sprints y ceremonias aplicadas.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Rol</w:t>
            </w:r>
          </w:p>
        </w:tc>
        <w:tc>
          <w:tcPr>
            <w:tcW w:type="dxa" w:w="2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Integrante</w:t>
            </w:r>
          </w:p>
        </w:tc>
        <w:tc>
          <w:tcPr>
            <w:tcW w:type="dxa" w:w="5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Responsabilidades principales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[Rol]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[Nombre]</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[Descripción]</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w:r>
          </w:p>
        </w:tc>
        <w:tc>
          <w:tcPr>
            <w:tcW w:type="dxa" w:w="2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w:r>
          </w:p>
        </w:tc>
        <w:tc>
          <w:tcPr>
            <w:tcW w:type="dxa" w:w="5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w:r>
          </w:p>
        </w:tc>
      </w:tr>
    </w:tbl>
    <w:p>
      <w:pPr>
        <w:spacing w:after="140"/>
      </w:pPr>
      <w:r>
        <w:rPr>
          <w:sz w:val="21"/>
          <w:szCs w:val="21"/>
        </w:rPr>
        <w:t xml:space="preserve">[Completar — Product Backlog, Sprints y ceremonias (Daily, Review, Retrospective)]</w:t>
      </w:r>
    </w:p>
    <w:p>
      <w:pPr>
        <w:pStyle w:val="Heading2"/>
        <w:spacing w:after="120" w:before="260"/>
      </w:pPr>
      <w:r>
        <w:rPr>
          <w:b/>
          <w:bCs/>
          <w:color w:val="1F3864"/>
          <w:sz w:val="24"/>
          <w:szCs w:val="24"/>
        </w:rPr>
        <w:t xml:space="preserve">4.2 Actividades y Cronograma</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Incluí un cronograma (Gantt u otro formato) con las actividades por hito.</w:t>
      </w:r>
    </w:p>
    <w:p>
      <w:pPr>
        <w:spacing w:after="140"/>
      </w:pPr>
      <w:r>
        <w:rPr>
          <w:sz w:val="21"/>
          <w:szCs w:val="21"/>
        </w:rPr>
        <w:t xml:space="preserve">[Insertar cronograma]</w:t>
      </w:r>
    </w:p>
    <w:p>
      <w:pPr>
        <w:pStyle w:val="Heading2"/>
        <w:spacing w:after="120" w:before="260"/>
      </w:pPr>
      <w:r>
        <w:rPr>
          <w:b/>
          <w:bCs/>
          <w:color w:val="1F3864"/>
          <w:sz w:val="24"/>
          <w:szCs w:val="24"/>
        </w:rPr>
        <w:t xml:space="preserve">4.3 Responsables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Quién es responsable de cada actividad o módulo del cronograma.</w:t>
      </w:r>
    </w:p>
    <w:p>
      <w:pPr>
        <w:spacing w:after="140"/>
      </w:pPr>
      <w:r>
        <w:rPr>
          <w:sz w:val="21"/>
          <w:szCs w:val="21"/>
        </w:rPr>
        <w:t xml:space="preserve">[Completar]</w:t>
      </w:r>
    </w:p>
    <w:p>
      <w:pPr>
        <w:pStyle w:val="Heading2"/>
        <w:spacing w:after="120" w:before="260"/>
      </w:pPr>
      <w:r>
        <w:rPr>
          <w:b/>
          <w:bCs/>
          <w:color w:val="1F3864"/>
          <w:sz w:val="24"/>
          <w:szCs w:val="24"/>
        </w:rPr>
        <w:t xml:space="preserve">4.4 Control de Versiones y Repositorio</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Enlace al repositorio de GitHub y estrategia de ramas/commits. Esta sección es clave: el tribunal puede pedir ver el historial de commits para validar la autoría de cada integrante.</w:t>
      </w:r>
    </w:p>
    <w:p>
      <w:pPr>
        <w:spacing w:after="140"/>
      </w:pPr>
      <w:r>
        <w:rPr>
          <w:sz w:val="21"/>
          <w:szCs w:val="21"/>
        </w:rPr>
        <w:t xml:space="preserve">[Completar]</w:t>
      </w:r>
    </w:p>
    <w:p>
      <w:pPr>
        <w:pStyle w:val="Heading2"/>
        <w:spacing w:after="120" w:before="260"/>
      </w:pPr>
      <w:r>
        <w:rPr>
          <w:b/>
          <w:bCs/>
          <w:color w:val="1F3864"/>
          <w:sz w:val="24"/>
          <w:szCs w:val="24"/>
        </w:rPr>
        <w:t xml:space="preserve">4.5 Base de Datos y Respaldos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Scripts SQL de creación (DDL) y datos semilla si aplica, usuario dedicado para la aplicación con privilegios mínimos, y el esquema de respaldos (backups) en BD y POSIX/Microsoft, junto con el plan básico de contingencia ante caídas.</w:t>
      </w:r>
    </w:p>
    <w:p>
      <w:pPr>
        <w:spacing w:after="140"/>
      </w:pPr>
      <w:r>
        <w:rPr>
          <w:sz w:val="21"/>
          <w:szCs w:val="21"/>
        </w:rPr>
        <w:t xml:space="preserve">[Completar]</w:t>
      </w:r>
    </w:p>
    <w:p>
      <w:pPr>
        <w:spacing w:after="200"/>
      </w:pPr>
      <w:r>
        <w:rPr>
          <w:b/>
          <w:bCs/>
          <w:color w:val="7F7F7F"/>
          <w:sz w:val="19"/>
          <w:szCs w:val="19"/>
        </w:rPr>
        <w:t xml:space="preserve">📋 Evaluado en la Matriz como: </w:t>
      </w:r>
      <w:r>
        <w:rPr>
          <w:i/>
          <w:iCs/>
          <w:color w:val="7F7F7F"/>
          <w:sz w:val="19"/>
          <w:szCs w:val="19"/>
        </w:rPr>
        <w:t xml:space="preserve">"Metodología Ágil y Trazabilidad (transversal)"</w:t>
      </w:r>
      <w:r>
        <w:rPr>
          <w:color w:val="7F7F7F"/>
          <w:sz w:val="19"/>
          <w:szCs w:val="19"/>
        </w:rPr>
        <w:t xml:space="preserve"> — Capítulos 4.1, 4.3 y 4.4</w:t>
      </w:r>
    </w:p>
    <w:p>
      <w:pPr>
        <w:pStyle w:val="Heading1"/>
        <w:pBdr>
          <w:bottom w:val="single" w:color="1F3864" w:sz="6" w:space="4"/>
        </w:pBdr>
        <w:spacing w:after="200" w:before="400"/>
      </w:pPr>
      <w:r>
        <w:rPr>
          <w:b/>
          <w:bCs/>
          <w:color w:val="1F3864"/>
          <w:sz w:val="30"/>
          <w:szCs w:val="30"/>
        </w:rPr>
        <w:t xml:space="preserve">5. Plan de Verificación y Validación</w:t>
      </w:r>
    </w:p>
    <w:p>
      <w:pPr>
        <w:pStyle w:val="Heading2"/>
        <w:spacing w:after="120" w:before="260"/>
      </w:pPr>
      <w:r>
        <w:rPr>
          <w:b/>
          <w:bCs/>
          <w:color w:val="1F3864"/>
          <w:sz w:val="24"/>
          <w:szCs w:val="24"/>
        </w:rPr>
        <w:t xml:space="preserve">5.1 Metodología de Desarrollo: TDD</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Materia responsable: Testing. TDD (Test-Driven Development) es la práctica que la cátedra espera ver aplicada: escribir el caso de prueba ANTES que el código de la funcionalidad. Documentá al menos un ciclo completo, con capturas o fragmentos de código de cada etapa.</w:t>
      </w:r>
    </w:p>
    <w:p>
      <w:pPr>
        <w:spacing w:after="140"/>
      </w:pPr>
      <w:r>
        <w:rPr>
          <w:sz w:val="21"/>
          <w:szCs w:val="21"/>
        </w:rPr>
        <w:t xml:space="preserve">El ciclo de TDD se conoce como Red-Green-Refactor: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Etapa</w:t>
            </w:r>
          </w:p>
        </w:tc>
        <w:tc>
          <w:tcPr>
            <w:tcW w:type="dxa" w:w="6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Qué se hace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 Red (rojo)</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Se escribe un caso de prueba para una funcionalidad que todavía no existe. La prueba falla — eso es esperado y correcto.</w:t>
            </w:r>
          </w:p>
        </w:tc>
      </w:tr>
      <w:tr>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 Green (verde)</w:t>
            </w:r>
          </w:p>
        </w:tc>
        <w:tc>
          <w:tcPr>
            <w:tcW w:type="dxa" w:w="6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Se escribe el código mínimo necesario para que esa prueba pase. No se optimiza todavía.</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 Refactor</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Se mejora el código (legibilidad, duplicación, diseño) manteniendo todas las pruebas en verde.</w:t>
            </w:r>
          </w:p>
        </w:tc>
      </w:tr>
    </w:tbl>
    <w:p>
      <w:pPr>
        <w:spacing w:after="140"/>
      </w:pPr>
      <w:r>
        <w:rPr>
          <w:sz w:val="21"/>
          <w:szCs w:val="21"/>
        </w:rPr>
        <w:t xml:space="preserve">[Completar — Ejemplo de un ciclo TDD aplicado a un RF concreto: prueba que falla (Red), código mínimo que la hace pasar (Green), mejora aplicada (Refactor)]</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Herramientas según stack: JUnit (Java), PHPUnit (PHP), pytest (Python), Jest (JavaScript/TypeScript). Se recomienda que los RF marcados MUST del Capítulo 2.2 tengan al menos una prueba escrita antes que el código correspondiente.</w:t>
      </w:r>
    </w:p>
    <w:p>
      <w:pPr>
        <w:pStyle w:val="Heading2"/>
        <w:spacing w:after="120" w:before="260"/>
      </w:pPr>
      <w:r>
        <w:rPr>
          <w:b/>
          <w:bCs/>
          <w:color w:val="1F3864"/>
          <w:sz w:val="24"/>
          <w:szCs w:val="24"/>
        </w:rPr>
        <w:t xml:space="preserve">5.2 Estrategia de Pruebas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Herramientas utilizadas (JUnit/PHPUnit/pytest/Jest, Postman, SonarQube, pruebas automatizadas con IA, etc.) y tipos de prueba realizados (unitarias TDD, de integración, end-to-end).</w:t>
      </w:r>
    </w:p>
    <w:p>
      <w:pPr>
        <w:spacing w:after="140"/>
      </w:pPr>
      <w:r>
        <w:rPr>
          <w:sz w:val="21"/>
          <w:szCs w:val="21"/>
        </w:rPr>
        <w:t xml:space="preserve">[Completar]</w:t>
      </w:r>
    </w:p>
    <w:p>
      <w:pPr>
        <w:pStyle w:val="Heading2"/>
        <w:spacing w:after="120" w:before="260"/>
      </w:pPr>
      <w:r>
        <w:rPr>
          <w:b/>
          <w:bCs/>
          <w:color w:val="1F3864"/>
          <w:sz w:val="24"/>
          <w:szCs w:val="24"/>
        </w:rPr>
        <w:t xml:space="preserve">5.3 Casos de Prueba</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Incluí al menos un caso que haya fallado en la primera iteración, cómo se documentó el defecto y cómo se corrigió — el tribunal puede pedir verlo en la defensa.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400"/>
        <w:gridCol w:w="1600"/>
      </w:tblGrid>
      <w:tr>
        <w:trPr>
          <w:tblHeader/>
        </w:trPr>
        <w:tc>
          <w:tcPr>
            <w:tcW w:type="dxa" w:w="1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ID</w:t>
            </w:r>
          </w:p>
        </w:tc>
        <w:tc>
          <w:tcPr>
            <w:tcW w:type="dxa" w:w="3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Caso de Prueba</w:t>
            </w:r>
          </w:p>
        </w:tc>
        <w:tc>
          <w:tcPr>
            <w:tcW w:type="dxa" w:w="2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Resultado Esperado</w:t>
            </w:r>
          </w:p>
        </w:tc>
        <w:tc>
          <w:tcPr>
            <w:tcW w:type="dxa" w:w="2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Resultado Obtenido</w:t>
            </w:r>
          </w:p>
        </w:tc>
        <w:tc>
          <w:tcPr>
            <w:tcW w:type="dxa" w:w="1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Estado</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CP-01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[OK/Falló]</w:t>
            </w:r>
          </w:p>
        </w:tc>
      </w:tr>
    </w:tbl>
    <w:p>
      <w:pPr>
        <w:pStyle w:val="Heading2"/>
        <w:spacing w:after="120" w:before="260"/>
      </w:pPr>
      <w:r>
        <w:rPr>
          <w:b/>
          <w:bCs/>
          <w:color w:val="1F3864"/>
          <w:sz w:val="24"/>
          <w:szCs w:val="24"/>
        </w:rPr>
        <w:t xml:space="preserve">5.4 Criterios de Aceptación</w:t>
      </w:r>
    </w:p>
    <w:p>
      <w:pPr>
        <w:spacing w:after="140"/>
      </w:pPr>
      <w:r>
        <w:rPr>
          <w:sz w:val="21"/>
          <w:szCs w:val="21"/>
        </w:rPr>
        <w:t xml:space="preserve">[Completar]</w:t>
      </w:r>
    </w:p>
    <w:p>
      <w:pPr>
        <w:spacing w:after="200"/>
      </w:pPr>
      <w:r>
        <w:rPr>
          <w:b/>
          <w:bCs/>
          <w:color w:val="7F7F7F"/>
          <w:sz w:val="19"/>
          <w:szCs w:val="19"/>
        </w:rPr>
        <w:t xml:space="preserve">📋 Evaluado en la Matriz como: </w:t>
      </w:r>
      <w:r>
        <w:rPr>
          <w:i/>
          <w:iCs/>
          <w:color w:val="7F7F7F"/>
          <w:sz w:val="19"/>
          <w:szCs w:val="19"/>
        </w:rPr>
        <w:t xml:space="preserve">"Testing (TDD) y Verificación"</w:t>
      </w:r>
      <w:r>
        <w:rPr>
          <w:color w:val="7F7F7F"/>
          <w:sz w:val="19"/>
          <w:szCs w:val="19"/>
        </w:rPr>
        <w:t xml:space="preserve"> — Capítulo 5 (completo)</w:t>
      </w:r>
    </w:p>
    <w:p>
      <w:pPr>
        <w:pStyle w:val="Heading1"/>
        <w:pBdr>
          <w:bottom w:val="single" w:color="1F3864" w:sz="6" w:space="4"/>
        </w:pBdr>
        <w:spacing w:after="200" w:before="400"/>
      </w:pPr>
      <w:r>
        <w:rPr>
          <w:b/>
          <w:bCs/>
          <w:color w:val="1F3864"/>
          <w:sz w:val="30"/>
          <w:szCs w:val="30"/>
        </w:rPr>
        <w:t xml:space="preserve">6. Evidencias</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Capturas de pantalla, scripts o configuraciones relevantes, y logs de ejecución. No dejes esta sección vacía — es la que respalda todo lo que se afirma en los capítulos anteriores.</w:t>
      </w:r>
    </w:p>
    <w:p>
      <w:pPr>
        <w:spacing w:after="140"/>
      </w:pPr>
      <w:r>
        <w:rPr>
          <w:sz w:val="21"/>
          <w:szCs w:val="21"/>
        </w:rPr>
        <w:t xml:space="preserve">[Insertar capturas, scripts y logs]</w:t>
      </w:r>
    </w:p>
    <w:p>
      <w:pPr>
        <w:pStyle w:val="Heading1"/>
        <w:pBdr>
          <w:bottom w:val="single" w:color="1F3864" w:sz="6" w:space="4"/>
        </w:pBdr>
        <w:spacing w:after="200" w:before="400"/>
      </w:pPr>
      <w:r>
        <w:rPr>
          <w:b/>
          <w:bCs/>
          <w:color w:val="1F3864"/>
          <w:sz w:val="30"/>
          <w:szCs w:val="30"/>
        </w:rPr>
        <w:t xml:space="preserve">7. Evaluación de Calidad (ISO/IEC 25010:2023)</w:t>
      </w:r>
    </w:p>
    <w:p>
      <w:pPr>
        <w:pStyle w:val="Heading2"/>
        <w:spacing w:after="120" w:before="260"/>
      </w:pPr>
      <w:r>
        <w:rPr>
          <w:b/>
          <w:bCs/>
          <w:color w:val="1F3864"/>
          <w:sz w:val="24"/>
          <w:szCs w:val="24"/>
        </w:rPr>
        <w:t xml:space="preserve">7.1 Proceso de Evaluación (ISO/IEC 2504n)</w:t>
      </w:r>
    </w:p>
    <w:p>
      <w:pPr>
        <w:spacing w:after="140"/>
      </w:pPr>
      <w:r>
        <w:rPr>
          <w:sz w:val="21"/>
          <w:szCs w:val="21"/>
        </w:rPr>
        <w:t xml:space="preserve">La serie ISO/IEC 2504n (ISO/IEC 25040 y 25041) detalla los pasos prácticos para que desarrolladores o evaluadores externos —en este caso, ustedes como equipo desarrollador, y luego el tribunal como evaluador independiente— ejecuten las pruebas de calidad. Documentá brevemente cómo se aplicó cada paso: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Paso (ISO/IEC 25040)</w:t>
            </w:r>
          </w:p>
        </w:tc>
        <w:tc>
          <w:tcPr>
            <w:tcW w:type="dxa" w:w="3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Qué implica</w:t>
            </w:r>
          </w:p>
        </w:tc>
        <w:tc>
          <w:tcPr>
            <w:tcW w:type="dxa" w:w="28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Cómo se aplicó en el proyecto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1. Establecer los requisitos de evaluación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Definir qué características de ISO/IEC 25010:2023 se van a evaluar y con qué propósito</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2. Especificar la evaluación</w:t>
            </w:r>
          </w:p>
        </w:tc>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Elegir las métricas/medidas y los criterios de decisión para cada característica</w:t>
            </w:r>
          </w:p>
        </w:tc>
        <w:tc>
          <w:tcPr>
            <w:tcW w:type="dxa" w:w="2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3. Diseñar la evaluación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Planificar cómo, cuándo y con qué herramientas se va a medir (SonarQube, JUnit, Postman, pruebas de usuario, etc.)</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4. Ejecutar la evaluación</w:t>
            </w:r>
          </w:p>
        </w:tc>
        <w:tc>
          <w:tcPr>
            <w:tcW w:type="dxa" w:w="3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Correr las mediciones/pruebas y registrar los resultados obtenidos</w:t>
            </w:r>
          </w:p>
        </w:tc>
        <w:tc>
          <w:tcPr>
            <w:tcW w:type="dxa" w:w="28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5. Concluir la evaluación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Comparar resultados contra los criterios definidos y documentar conclusiones y acciones de mejora</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bl>
    <w:p>
      <w:pPr>
        <w:pStyle w:val="Heading2"/>
        <w:spacing w:after="120" w:before="260"/>
      </w:pPr>
      <w:r>
        <w:rPr>
          <w:b/>
          <w:bCs/>
          <w:color w:val="1F3864"/>
          <w:sz w:val="24"/>
          <w:szCs w:val="24"/>
        </w:rPr>
        <w:t xml:space="preserve">7.2 Resultados por Característica</w:t>
      </w:r>
    </w:p>
    <w:p>
      <w:pPr>
        <w:pBdr>
          <w:left w:val="single" w:color="8EA9DB" w:sz="12" w:space="6"/>
        </w:pBdr>
        <w:shd w:fill="F2F2F2" w:val="clear"/>
        <w:spacing w:after="160"/>
        <w:ind w:left="120"/>
      </w:pPr>
      <w:r>
        <w:rPr>
          <w:b/>
          <w:bCs/>
          <w:i/>
          <w:iCs/>
          <w:color w:val="44546A"/>
          <w:sz w:val="20"/>
          <w:szCs w:val="20"/>
        </w:rPr>
        <w:t xml:space="preserve">Guía para completar: </w:t>
      </w:r>
      <w:r>
        <w:rPr>
          <w:i/>
          <w:iCs/>
          <w:color w:val="44546A"/>
          <w:sz w:val="20"/>
          <w:szCs w:val="20"/>
        </w:rPr>
        <w:t xml:space="preserve">ISO/IEC 25010:2023 define 9 características (edición 2ª, nov. 2023 — reemplaza a la edición 2011 y a ISO/IEC 9126). Completá las 9: no alcanza con evaluar 2 o 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20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Característica (ISO 25010:2023)</w:t>
            </w:r>
          </w:p>
        </w:tc>
        <w:tc>
          <w:tcPr>
            <w:tcW w:type="dxa" w:w="24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Cómo se evaluó</w:t>
            </w:r>
          </w:p>
        </w:tc>
        <w:tc>
          <w:tcPr>
            <w:tcW w:type="dxa" w:w="2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Resultado</w:t>
            </w:r>
          </w:p>
        </w:tc>
        <w:tc>
          <w:tcPr>
            <w:tcW w:type="dxa" w:w="2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Acciones de mejora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Adecuación Funcional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Rendimiento (Eficiencia de Desempeño)</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Compatibilidad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Capacidad de Interacción (ex Usabilidad)</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Confiabilidad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Seguridad</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Mantenibilidad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Flexibilidad (ex Portabilidad)</w:t>
            </w:r>
          </w:p>
        </w:tc>
        <w:tc>
          <w:tcPr>
            <w:tcW w:type="dxa" w:w="24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r>
              <w:rPr>
                <w:sz w:val="20"/>
                <w:szCs w:val="20"/>
              </w:rPr>
              <w:t xml:space="preserve">[Completar]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Seguridad Operacional / Safety (nueva en 2023)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[Completar]</w:t>
            </w:r>
          </w:p>
        </w:tc>
      </w:tr>
    </w:tbl>
    <w:p>
      <w:pPr>
        <w:spacing w:after="200"/>
      </w:pPr>
      <w:r>
        <w:rPr>
          <w:b/>
          <w:bCs/>
          <w:color w:val="7F7F7F"/>
          <w:sz w:val="19"/>
          <w:szCs w:val="19"/>
        </w:rPr>
        <w:t xml:space="preserve">📋 Evaluado en la Matriz como: </w:t>
      </w:r>
      <w:r>
        <w:rPr>
          <w:i/>
          <w:iCs/>
          <w:color w:val="7F7F7F"/>
          <w:sz w:val="19"/>
          <w:szCs w:val="19"/>
        </w:rPr>
        <w:t xml:space="preserve">"Usabilidad, Rendimiento y Confiabilidad (ISO 25010:2023)"</w:t>
      </w:r>
      <w:r>
        <w:rPr>
          <w:color w:val="7F7F7F"/>
          <w:sz w:val="19"/>
          <w:szCs w:val="19"/>
        </w:rPr>
        <w:t xml:space="preserve"> — Capítulos 3.5, 5 y 7</w:t>
      </w:r>
    </w:p>
    <w:p>
      <w:pPr>
        <w:spacing w:after="200"/>
      </w:pPr>
      <w:r>
        <w:rPr>
          <w:b/>
          <w:bCs/>
          <w:color w:val="7F7F7F"/>
          <w:sz w:val="19"/>
          <w:szCs w:val="19"/>
        </w:rPr>
        <w:t xml:space="preserve">📋 Evaluado en la Matriz como: </w:t>
      </w:r>
      <w:r>
        <w:rPr>
          <w:i/>
          <w:iCs/>
          <w:color w:val="7F7F7F"/>
          <w:sz w:val="19"/>
          <w:szCs w:val="19"/>
        </w:rPr>
        <w:t xml:space="preserve">"Mantenibilidad y Flexibilidad (ISO 25010:2023)"</w:t>
      </w:r>
      <w:r>
        <w:rPr>
          <w:color w:val="7F7F7F"/>
          <w:sz w:val="19"/>
          <w:szCs w:val="19"/>
        </w:rPr>
        <w:t xml:space="preserve"> — Todo el documento</w:t>
      </w:r>
    </w:p>
    <w:p>
      <w:pPr>
        <w:pStyle w:val="Heading1"/>
        <w:pBdr>
          <w:bottom w:val="single" w:color="1F3864" w:sz="6" w:space="4"/>
        </w:pBdr>
        <w:spacing w:after="200" w:before="400"/>
      </w:pPr>
      <w:r>
        <w:rPr>
          <w:b/>
          <w:bCs/>
          <w:color w:val="1F3864"/>
          <w:sz w:val="30"/>
          <w:szCs w:val="30"/>
        </w:rPr>
        <w:t xml:space="preserve">8. Conclusiones y Próximos Pasos</w:t>
      </w:r>
    </w:p>
    <w:p>
      <w:pPr>
        <w:pStyle w:val="Heading2"/>
        <w:spacing w:after="120" w:before="260"/>
      </w:pPr>
      <w:r>
        <w:rPr>
          <w:b/>
          <w:bCs/>
          <w:color w:val="1F3864"/>
          <w:sz w:val="24"/>
          <w:szCs w:val="24"/>
        </w:rPr>
        <w:t xml:space="preserve">8.1 Conclusiones</w:t>
      </w:r>
    </w:p>
    <w:p>
      <w:pPr>
        <w:spacing w:after="140"/>
      </w:pPr>
      <w:r>
        <w:rPr>
          <w:sz w:val="21"/>
          <w:szCs w:val="21"/>
        </w:rPr>
        <w:t xml:space="preserve">[Completar — resumen de lo logrado en el hito y aprendizajes del equipo]</w:t>
      </w:r>
    </w:p>
    <w:p>
      <w:pPr>
        <w:pStyle w:val="Heading2"/>
        <w:spacing w:after="120" w:before="260"/>
      </w:pPr>
      <w:r>
        <w:rPr>
          <w:b/>
          <w:bCs/>
          <w:color w:val="1F3864"/>
          <w:sz w:val="24"/>
          <w:szCs w:val="24"/>
        </w:rPr>
        <w:t xml:space="preserve">8.2 Próximos Pasos</w:t>
      </w:r>
    </w:p>
    <w:p>
      <w:pPr>
        <w:spacing w:after="140"/>
      </w:pPr>
      <w:r>
        <w:rPr>
          <w:sz w:val="21"/>
          <w:szCs w:val="21"/>
        </w:rPr>
        <w:t xml:space="preserve">[Completar — mejoras futuras o funcionalidades pendientes para el próximo hito]</w:t>
      </w:r>
    </w:p>
    <w:p>
      <w:pPr>
        <w:pStyle w:val="Heading1"/>
        <w:pBdr>
          <w:bottom w:val="single" w:color="1F3864" w:sz="6" w:space="4"/>
        </w:pBdr>
        <w:spacing w:after="200" w:before="400"/>
      </w:pPr>
      <w:r>
        <w:rPr>
          <w:b/>
          <w:bCs/>
          <w:color w:val="1F3864"/>
          <w:sz w:val="30"/>
          <w:szCs w:val="30"/>
        </w:rPr>
        <w:t xml:space="preserve">9. Anexos</w:t>
      </w:r>
    </w:p>
    <w:p>
      <w:pPr>
        <w:pStyle w:val="Heading2"/>
        <w:spacing w:after="120" w:before="260"/>
      </w:pPr>
      <w:r>
        <w:rPr>
          <w:b/>
          <w:bCs/>
          <w:color w:val="1F3864"/>
          <w:sz w:val="24"/>
          <w:szCs w:val="24"/>
        </w:rPr>
        <w:t xml:space="preserve">9.1 Glosario de Términos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Término</w:t>
            </w:r>
          </w:p>
        </w:tc>
        <w:tc>
          <w:tcPr>
            <w:tcW w:type="dxa" w:w="7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vAlign w:val="center"/>
          </w:tcPr>
          <w:p>
            <w:pPr>
              <w:jc w:val="center"/>
            </w:pPr>
            <w:r>
              <w:rPr>
                <w:b/>
                <w:bCs/>
                <w:color w:val="FFFFFF"/>
                <w:sz w:val="20"/>
                <w:szCs w:val="20"/>
              </w:rPr>
              <w:t xml:space="preserve">Definición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Active Directory</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Servicio de directorio desarrollado por Microsoft para redes de dominio Windows.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API</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Interfaz que permite que dos aplicaciones de software se comuniquen entre sí.</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Backlog (Product Backlog)</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Lista priorizada de funcionalidades y tareas pendientes de un proyecto, propia de metodologías ágiles como Scrum.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CRUD</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Acrónimo para las operaciones de Crear, Leer, Actualizar y Borrar registros.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CSRF</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Cross-Site Request Forgery. Ataque que fuerza a un usuario autenticado a ejecutar acciones no deseadas en una aplicación web.</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DHCP</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Dynamic Host Configuration Protocol. Protocolo que asigna direcciones IP y parámetros de red de forma automática a los dispositivos.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DNS</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Domain Name System. Sistema de nomenclatura jerárquico para redes.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Docker</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Plataforma para desarrollar, enviar y ejecutar aplicaciones dentro de contenedores.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ESRE</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Especificación de Requisitos del Sistema/Software, documento central definido por la norma ISO/IEC/IEEE 29148.</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Firewall</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Sistema de seguridad que controla el tráfico de red entrante y saliente según reglas predefinidas.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Gantt</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Diagrama de barras utilizado para representar el cronograma de un proyecto y sus actividades en el tiempo.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Git</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Sistema de control de versiones distribuido utilizado para gestionar el historial de cambios del código.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GitHub</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Plataforma de alojamiento de código para control de versiones y colaboración.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GPO</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Group Policy Object. Colección de configuraciones de políticas en Active Directory.</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Hash</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Función que transforma datos (por ejemplo, una contraseña) en una cadena de longitud fija, usada para verificar integridad o almacenar credenciales de forma segura.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HTTPS</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HyperText Transfer Protocol Secure. Versión cifrada del protocolo HTTP para la transmisión segura de datos en la web.</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Jest</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Framework de pruebas para aplicaciones JavaScript/TypeScript.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JSON</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Formato de texto ligero para el intercambio de datos.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JUnit</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Framework de pruebas unitarias para aplicaciones desarrolladas en Java.</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MoSCoW</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Método de priorización (Must have, Should have, Could have, Won't have).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MVC</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Patrón arquitectónico que separa una aplicación en tres componentes lógicos principales: Modelo, Vista y Controlador.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ORM</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Técnica de programación para vincular bases de datos con conceptos del lenguaje orientado a objetos.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PHPUnit</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Framework de pruebas unitarias para aplicaciones desarrolladas en PHP.</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POSIX</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Conjunto de estándares IEEE diseñados para mantener la compatibilidad entre sistemas operativos.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Postman</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Herramienta para diseñar, probar y documentar APIs.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Proxy</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Servidor intermediario que gestiona las solicitudes entre los clientes de una red y otros servidores.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pytest</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Framework de pruebas para aplicaciones desarrolladas en Python.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Scrum</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Marco de trabajo ágil para la gestión de proyectos de desarrollo de software.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SOLID</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Acrónimo de cinco principios de diseño orientado a objetos destinados a hacer que el diseño de software sea más comprensible, flexible y mantenible.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SonarQube</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Herramienta de análisis estático de código para detectar errores, vulnerabilidades y problemas de mantenibilidad.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SQL</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Structured Query Language. Lenguaje utilizado para consultar y administrar bases de datos relacionales.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SSH</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Secure Shell. Protocolo que permite el acceso remoto seguro y cifrado a otro equipo o servidor.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TDD</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Test-Driven Development. Práctica de desarrollo que consiste en escribir el caso de prueba antes que el código de la funcionalidad.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XSS</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sz w:val="20"/>
                <w:szCs w:val="20"/>
              </w:rPr>
              <w:t xml:space="preserve">Cross-Site Scripting. Vulnerabilidad que permite inyectar scripts maliciosos en páginas web vistas por otros usuarios.</w:t>
            </w:r>
          </w:p>
        </w:tc>
      </w:tr>
    </w:tbl>
    <w:p>
      <w:pPr>
        <w:pStyle w:val="Heading2"/>
        <w:spacing w:after="120" w:before="260"/>
      </w:pPr>
      <w:r>
        <w:rPr>
          <w:b/>
          <w:bCs/>
          <w:color w:val="1F3864"/>
          <w:sz w:val="24"/>
          <w:szCs w:val="24"/>
        </w:rPr>
        <w:t xml:space="preserve">9.2 Referencias</w:t>
      </w:r>
    </w:p>
    <w:p>
      <w:pPr>
        <w:spacing w:after="140"/>
      </w:pPr>
      <w:r>
        <w:rPr>
          <w:sz w:val="21"/>
          <w:szCs w:val="21"/>
        </w:rPr>
        <w:t xml:space="preserve">[Completar — bibliografía, documentación oficial de las tecnologías usadas, y fuentes consultadas]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Proyecto Final CTT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2026-08-14T02:23:21.834Z</dcterms:created>
  <dcterms:modified xsi:type="dcterms:W3CDTF">2026-08-14T02:23:21.834Z</dcterms:modified>
</cp:coreProperties>
</file>

<file path=docProps/custom.xml><?xml version="1.0" encoding="utf-8"?>
<Properties xmlns="http://schemas.openxmlformats.org/officeDocument/2006/custom-properties" xmlns:vt="http://schemas.openxmlformats.org/officeDocument/2006/docPropsVTypes"/>
</file>