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
      </w:pPr>
    </w:p>
    <w:p>
      <w:pPr>
        <w:spacing w:after="60" w:before="0"/>
        <w:jc w:val="center"/>
      </w:pPr>
      <w:r>
        <w:rPr>
          <w:rFonts w:ascii="Poppins" w:cs="Poppins" w:eastAsia="Poppins" w:hAnsi="Poppins"/>
          <w:b/>
          <w:bCs/>
          <w:color w:val="1B2D5B"/>
          <w:sz w:val="40"/>
          <w:szCs w:val="40"/>
        </w:rPr>
        <w:t xml:space="preserve">Convention de Partenariat</w:t>
      </w:r>
    </w:p>
    <w:p>
      <w:pPr>
        <w:spacing w:after="60" w:before="0"/>
        <w:jc w:val="center"/>
      </w:pPr>
      <w:r>
        <w:rPr>
          <w:rFonts w:ascii="Inter" w:cs="Inter" w:eastAsia="Inter" w:hAnsi="Inter"/>
          <w:i/>
          <w:iCs/>
          <w:color w:val="6B7280"/>
          <w:sz w:val="22"/>
          <w:szCs w:val="22"/>
        </w:rPr>
        <w:t xml:space="preserve">Tarif préférentiel pour les clients des études notariales partenaires</w:t>
      </w:r>
    </w:p>
    <w:p>
      <w:pPr>
        <w:spacing w:after="0" w:before="80"/>
      </w:pPr>
    </w:p>
    <w:p>
      <w:pPr>
        <w:pBdr>
          <w:bottom w:val="single" w:color="E2E8F0" w:sz="4"/>
        </w:pBdr>
        <w:spacing w:after="160" w:before="160"/>
      </w:pPr>
    </w:p>
    <w:p>
      <w:pPr>
        <w:spacing w:after="60" w:before="200"/>
      </w:pPr>
      <w:r>
        <w:rPr>
          <w:rFonts w:ascii="Inter" w:cs="Inter" w:eastAsia="Inter" w:hAnsi="Inter"/>
          <w:b/>
          <w:bCs/>
          <w:color w:val="C8933A"/>
          <w:spacing w:val="80"/>
          <w:sz w:val="17"/>
          <w:szCs w:val="17"/>
        </w:rPr>
        <w:t xml:space="preserve">LES PARTIES</w:t>
      </w: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4719"/>
        <w:gridCol w:w="4919"/>
      </w:tblGrid>
      <w:tr>
        <w:tc>
          <w:tcPr>
            <w:tcW w:type="dxa" w:w="4719"/>
            <w:tcBorders>
              <w:top w:val="none" w:color="FFFFFF" w:sz="0"/>
              <w:left w:val="none" w:color="FFFFFF" w:sz="0"/>
              <w:bottom w:val="none" w:color="FFFFFF" w:sz="0"/>
              <w:right w:val="none" w:color="FFFFFF" w:sz="0"/>
            </w:tcBorders>
            <w:shd w:fill="1B2D5B" w:val="clear"/>
            <w:tcMar>
              <w:top w:type="dxa" w:w="160"/>
              <w:left w:type="dxa" w:w="200"/>
              <w:bottom w:type="dxa" w:w="160"/>
              <w:right w:type="dxa" w:w="200"/>
            </w:tcMar>
          </w:tcPr>
          <w:p>
            <w:r>
              <w:rPr>
                <w:rFonts w:ascii="Inter" w:cs="Inter" w:eastAsia="Inter" w:hAnsi="Inter"/>
                <w:b/>
                <w:bCs/>
                <w:color w:val="FFFFFF"/>
                <w:sz w:val="18"/>
                <w:szCs w:val="18"/>
              </w:rPr>
              <w:t xml:space="preserve">Le prestataire</w:t>
            </w:r>
          </w:p>
          <w:p>
            <w:pPr>
              <w:spacing w:after="0" w:before="60"/>
            </w:pPr>
          </w:p>
          <w:p>
            <w:r>
              <w:rPr>
                <w:rFonts w:ascii="Poppins" w:cs="Poppins" w:eastAsia="Poppins" w:hAnsi="Poppins"/>
                <w:b/>
                <w:bCs/>
                <w:color w:val="FFFFFF"/>
                <w:sz w:val="22"/>
                <w:szCs w:val="22"/>
              </w:rPr>
              <w:t xml:space="preserve">Laurent Buffard</w:t>
            </w:r>
          </w:p>
          <w:p>
            <w:r>
              <w:rPr>
                <w:rFonts w:ascii="Inter" w:cs="Inter" w:eastAsia="Inter" w:hAnsi="Inter"/>
                <w:color w:val="93C5FD"/>
                <w:sz w:val="19"/>
                <w:szCs w:val="19"/>
              </w:rPr>
              <w:t xml:space="preserve">Expert en valorisation immobilière</w:t>
            </w:r>
          </w:p>
          <w:p>
            <w:pPr>
              <w:spacing w:before="80"/>
            </w:pPr>
            <w:r>
              <w:rPr>
                <w:rFonts w:ascii="Inter" w:cs="Inter" w:eastAsia="Inter" w:hAnsi="Inter"/>
                <w:color w:val="93C5FD"/>
                <w:sz w:val="19"/>
                <w:szCs w:val="19"/>
              </w:rPr>
              <w:t xml:space="preserve">Valorimmo — valorimmo.app</w:t>
            </w:r>
          </w:p>
          <w:p>
            <w:r>
              <w:rPr>
                <w:rFonts w:ascii="Inter" w:cs="Inter" w:eastAsia="Inter" w:hAnsi="Inter"/>
                <w:color w:val="93C5FD"/>
                <w:sz w:val="19"/>
                <w:szCs w:val="19"/>
              </w:rPr>
              <w:t xml:space="preserve">contact@valorimmo.app</w:t>
            </w:r>
          </w:p>
          <w:p>
            <w:r>
              <w:rPr>
                <w:rFonts w:ascii="Inter" w:cs="Inter" w:eastAsia="Inter" w:hAnsi="Inter"/>
                <w:color w:val="94A3B8"/>
                <w:sz w:val="19"/>
                <w:szCs w:val="19"/>
              </w:rPr>
              <w:t xml:space="preserve">SIRET : [à compléter]</w:t>
            </w:r>
          </w:p>
        </w:tc>
        <w:tc>
          <w:tcPr>
            <w:tcW w:type="dxa" w:w="4919"/>
            <w:tcBorders>
              <w:top w:val="none" w:color="FFFFFF" w:sz="0"/>
              <w:left w:val="none" w:color="FFFFFF" w:sz="0"/>
              <w:bottom w:val="none" w:color="FFFFFF" w:sz="0"/>
              <w:right w:val="none" w:color="FFFFFF" w:sz="0"/>
            </w:tcBorders>
            <w:shd w:fill="F4F7FB" w:val="clear"/>
            <w:tcMar>
              <w:top w:type="dxa" w:w="160"/>
              <w:left w:type="dxa" w:w="200"/>
              <w:bottom w:type="dxa" w:w="160"/>
              <w:right w:type="dxa" w:w="200"/>
            </w:tcMar>
          </w:tcPr>
          <w:p>
            <w:r>
              <w:rPr>
                <w:rFonts w:ascii="Inter" w:cs="Inter" w:eastAsia="Inter" w:hAnsi="Inter"/>
                <w:b/>
                <w:bCs/>
                <w:color w:val="6B7280"/>
                <w:sz w:val="18"/>
                <w:szCs w:val="18"/>
              </w:rPr>
              <w:t xml:space="preserve">Le partenaire</w:t>
            </w:r>
          </w:p>
          <w:p>
            <w:pPr>
              <w:spacing w:after="0" w:before="60"/>
            </w:pPr>
          </w:p>
          <w:p>
            <w:r>
              <w:rPr>
                <w:rFonts w:ascii="Poppins" w:cs="Poppins" w:eastAsia="Poppins" w:hAnsi="Poppins"/>
                <w:b/>
                <w:bCs/>
                <w:color w:val="1A2535"/>
                <w:sz w:val="22"/>
                <w:szCs w:val="22"/>
              </w:rPr>
              <w:t xml:space="preserve">Me ___________________________</w:t>
            </w:r>
          </w:p>
          <w:p>
            <w:r>
              <w:rPr>
                <w:rFonts w:ascii="Inter" w:cs="Inter" w:eastAsia="Inter" w:hAnsi="Inter"/>
                <w:color w:val="6B7280"/>
                <w:sz w:val="19"/>
                <w:szCs w:val="19"/>
              </w:rPr>
              <w:t xml:space="preserve">Notaire · Office notarial</w:t>
            </w:r>
          </w:p>
          <w:p>
            <w:pPr>
              <w:spacing w:before="80"/>
            </w:pPr>
            <w:r>
              <w:rPr>
                <w:rFonts w:ascii="Inter" w:cs="Inter" w:eastAsia="Inter" w:hAnsi="Inter"/>
                <w:color w:val="6B7280"/>
                <w:sz w:val="19"/>
                <w:szCs w:val="19"/>
              </w:rPr>
              <w:t xml:space="preserve">Office : ______________________________</w:t>
            </w:r>
          </w:p>
          <w:p>
            <w:r>
              <w:rPr>
                <w:rFonts w:ascii="Inter" w:cs="Inter" w:eastAsia="Inter" w:hAnsi="Inter"/>
                <w:color w:val="6B7280"/>
                <w:sz w:val="19"/>
                <w:szCs w:val="19"/>
              </w:rPr>
              <w:t xml:space="preserve">Adresse : _____________________________</w:t>
            </w:r>
          </w:p>
          <w:p>
            <w:r>
              <w:rPr>
                <w:rFonts w:ascii="Inter" w:cs="Inter" w:eastAsia="Inter" w:hAnsi="Inter"/>
                <w:color w:val="6B7280"/>
                <w:sz w:val="19"/>
                <w:szCs w:val="19"/>
              </w:rPr>
              <w:t xml:space="preserve">Email : ________________________________</w:t>
            </w:r>
          </w:p>
        </w:tc>
      </w:tr>
    </w:tbl>
    <w:p>
      <w:pPr>
        <w:spacing w:after="0" w:before="120"/>
      </w:pPr>
    </w:p>
    <w:p>
      <w:pPr>
        <w:pBdr>
          <w:bottom w:val="single" w:color="E2E8F0" w:sz="4"/>
        </w:pBdr>
        <w:spacing w:after="160" w:before="160"/>
      </w:pPr>
    </w:p>
    <w:p>
      <w:pPr>
        <w:spacing w:after="60" w:before="200"/>
      </w:pPr>
      <w:r>
        <w:rPr>
          <w:rFonts w:ascii="Inter" w:cs="Inter" w:eastAsia="Inter" w:hAnsi="Inter"/>
          <w:b/>
          <w:bCs/>
          <w:color w:val="C8933A"/>
          <w:spacing w:val="80"/>
          <w:sz w:val="17"/>
          <w:szCs w:val="17"/>
        </w:rPr>
        <w:t xml:space="preserve">ARTICLE 1 — OBJET</w:t>
      </w:r>
    </w:p>
    <w:p>
      <w:pPr>
        <w:spacing w:after="80" w:before="80"/>
      </w:pPr>
      <w:r>
        <w:rPr>
          <w:rFonts w:ascii="Inter" w:cs="Inter" w:eastAsia="Inter" w:hAnsi="Inter"/>
          <w:color w:val="1A2535"/>
          <w:sz w:val="22"/>
          <w:szCs w:val="22"/>
        </w:rPr>
        <w:t xml:space="preserve">La présente convention formalise le partenariat entre Valorimmo et l'Office notarial partenaire. Elle a pour objet de permettre aux clients de l'Office de bénéficier d'un tarif préférentiel sur les prestations de diagnostic immobilier proposées par Valorimmo, dans le cadre de dossiers de succession, d'indivision, de valeurs patrimoniales ou de toute autre opération nécessitant une valorisation précise et indépendante d'un bien immobilier.</w:t>
      </w:r>
    </w:p>
    <w:p>
      <w:pPr>
        <w:spacing w:after="0" w:before="80"/>
      </w:pPr>
    </w:p>
    <w:p>
      <w:pPr>
        <w:pBdr>
          <w:bottom w:val="single" w:color="E2E8F0" w:sz="4"/>
        </w:pBdr>
        <w:spacing w:after="160" w:before="160"/>
      </w:pPr>
    </w:p>
    <w:p>
      <w:pPr>
        <w:spacing w:after="60" w:before="200"/>
      </w:pPr>
      <w:r>
        <w:rPr>
          <w:rFonts w:ascii="Inter" w:cs="Inter" w:eastAsia="Inter" w:hAnsi="Inter"/>
          <w:b/>
          <w:bCs/>
          <w:color w:val="C8933A"/>
          <w:spacing w:val="80"/>
          <w:sz w:val="17"/>
          <w:szCs w:val="17"/>
        </w:rPr>
        <w:t xml:space="preserve">ARTICLE 2 — TARIF PRÉFÉRENTIEL PARTENAIRE</w:t>
      </w:r>
    </w:p>
    <w:p>
      <w:pPr>
        <w:spacing w:after="80" w:before="80"/>
      </w:pPr>
      <w:r>
        <w:rPr>
          <w:rFonts w:ascii="Inter" w:cs="Inter" w:eastAsia="Inter" w:hAnsi="Inter"/>
          <w:b w:val="false"/>
          <w:bCs w:val="false"/>
          <w:color w:val="1A2535"/>
          <w:sz w:val="22"/>
          <w:szCs w:val="22"/>
        </w:rPr>
        <w:t xml:space="preserve">Tout client de l'Office notarial partenaire bénéficie d'une remise de </w:t>
      </w:r>
    </w:p>
    <w:p>
      <w:pPr>
        <w:spacing w:after="60" w:before="60"/>
        <w:jc w:val="center"/>
      </w:pPr>
      <w:r>
        <w:rPr>
          <w:rFonts w:ascii="Poppins" w:cs="Poppins" w:eastAsia="Poppins" w:hAnsi="Poppins"/>
          <w:b/>
          <w:bCs/>
          <w:color w:val="C8933A"/>
          <w:sz w:val="26"/>
          <w:szCs w:val="26"/>
        </w:rPr>
        <w:t xml:space="preserve">−50 % sur l'ensemble des formules Valorimmo</w:t>
      </w:r>
    </w:p>
    <w:p>
      <w:pPr>
        <w:spacing w:after="80" w:before="80"/>
      </w:pPr>
      <w:r>
        <w:rPr>
          <w:rFonts w:ascii="Inter" w:cs="Inter" w:eastAsia="Inter" w:hAnsi="Inter"/>
          <w:color w:val="1A2535"/>
          <w:sz w:val="22"/>
          <w:szCs w:val="22"/>
        </w:rPr>
        <w:t xml:space="preserve">Cette remise est accordée via un lien ou code partenaire personnel et unique attribué à l'Office. Les tarifs applicables sont les suivants :</w:t>
      </w:r>
    </w:p>
    <w:p>
      <w:pPr>
        <w:spacing w:after="0" w:before="60"/>
      </w:pP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600"/>
        <w:gridCol w:w="800"/>
      </w:tblGrid>
      <w:tr>
        <w:trPr>
          <w:tblHeader/>
        </w:trPr>
        <w:tc>
          <w:tcPr>
            <w:tcW w:type="dxa" w:w="3200"/>
            <w:tcBorders>
              <w:top w:val="none" w:color="FFFFFF" w:sz="0"/>
              <w:left w:val="none" w:color="FFFFFF" w:sz="0"/>
              <w:bottom w:val="none" w:color="FFFFFF" w:sz="0"/>
              <w:right w:val="none" w:color="FFFFFF" w:sz="0"/>
            </w:tcBorders>
            <w:shd w:fill="1B2D5B" w:val="clear"/>
            <w:tcMar>
              <w:top w:type="dxa" w:w="100"/>
              <w:left w:type="dxa" w:w="140"/>
              <w:bottom w:type="dxa" w:w="100"/>
              <w:right w:type="dxa" w:w="140"/>
            </w:tcMar>
          </w:tcPr>
          <w:p>
            <w:r>
              <w:rPr>
                <w:rFonts w:ascii="Inter" w:cs="Inter" w:eastAsia="Inter" w:hAnsi="Inter"/>
                <w:b/>
                <w:bCs/>
                <w:color w:val="FFFFFF"/>
                <w:sz w:val="19"/>
                <w:szCs w:val="19"/>
              </w:rPr>
              <w:t xml:space="preserve">Formule</w:t>
            </w:r>
          </w:p>
        </w:tc>
        <w:tc>
          <w:tcPr>
            <w:tcW w:type="dxa" w:w="1600"/>
            <w:tcBorders>
              <w:top w:val="none" w:color="FFFFFF" w:sz="0"/>
              <w:left w:val="none" w:color="FFFFFF" w:sz="0"/>
              <w:bottom w:val="none" w:color="FFFFFF" w:sz="0"/>
              <w:right w:val="none" w:color="FFFFFF" w:sz="0"/>
            </w:tcBorders>
            <w:shd w:fill="1B2D5B" w:val="clear"/>
            <w:tcMar>
              <w:top w:type="dxa" w:w="100"/>
              <w:left w:type="dxa" w:w="140"/>
              <w:bottom w:type="dxa" w:w="100"/>
              <w:right w:type="dxa" w:w="140"/>
            </w:tcMar>
          </w:tcPr>
          <w:p>
            <w:pPr>
              <w:jc w:val="center"/>
            </w:pPr>
            <w:r>
              <w:rPr>
                <w:rFonts w:ascii="Inter" w:cs="Inter" w:eastAsia="Inter" w:hAnsi="Inter"/>
                <w:b/>
                <w:bCs/>
                <w:color w:val="93C5FD"/>
                <w:sz w:val="19"/>
                <w:szCs w:val="19"/>
              </w:rPr>
              <w:t xml:space="preserve">Tarif public</w:t>
            </w:r>
          </w:p>
        </w:tc>
        <w:tc>
          <w:tcPr>
            <w:tcW w:type="dxa" w:w="1600"/>
            <w:tcBorders>
              <w:top w:val="none" w:color="FFFFFF" w:sz="0"/>
              <w:left w:val="none" w:color="FFFFFF" w:sz="0"/>
              <w:bottom w:val="none" w:color="FFFFFF" w:sz="0"/>
              <w:right w:val="none" w:color="FFFFFF" w:sz="0"/>
            </w:tcBorders>
            <w:shd w:fill="1B2D5B" w:val="clear"/>
            <w:tcMar>
              <w:top w:type="dxa" w:w="100"/>
              <w:left w:type="dxa" w:w="140"/>
              <w:bottom w:type="dxa" w:w="100"/>
              <w:right w:type="dxa" w:w="140"/>
            </w:tcMar>
          </w:tcPr>
          <w:p>
            <w:pPr>
              <w:jc w:val="center"/>
            </w:pPr>
            <w:r>
              <w:rPr>
                <w:rFonts w:ascii="Inter" w:cs="Inter" w:eastAsia="Inter" w:hAnsi="Inter"/>
                <w:b/>
                <w:bCs/>
                <w:color w:val="C8933A"/>
                <w:sz w:val="19"/>
                <w:szCs w:val="19"/>
              </w:rPr>
              <w:t xml:space="preserve">Tarif partenaire</w:t>
            </w:r>
          </w:p>
        </w:tc>
        <w:tc>
          <w:tcPr>
            <w:tcW w:type="dxa" w:w="800"/>
            <w:tcBorders>
              <w:top w:val="none" w:color="FFFFFF" w:sz="0"/>
              <w:left w:val="none" w:color="FFFFFF" w:sz="0"/>
              <w:bottom w:val="none" w:color="FFFFFF" w:sz="0"/>
              <w:right w:val="none" w:color="FFFFFF" w:sz="0"/>
            </w:tcBorders>
            <w:shd w:fill="1B2D5B" w:val="clear"/>
            <w:tcMar>
              <w:top w:type="dxa" w:w="100"/>
              <w:left w:type="dxa" w:w="140"/>
              <w:bottom w:type="dxa" w:w="100"/>
              <w:right w:type="dxa" w:w="140"/>
            </w:tcMar>
          </w:tcPr>
          <w:p>
            <w:pPr>
              <w:jc w:val="center"/>
            </w:pPr>
            <w:r>
              <w:rPr>
                <w:rFonts w:ascii="Inter" w:cs="Inter" w:eastAsia="Inter" w:hAnsi="Inter"/>
                <w:b/>
                <w:bCs/>
                <w:color w:val="C8933A"/>
                <w:sz w:val="19"/>
                <w:szCs w:val="19"/>
              </w:rPr>
              <w:t xml:space="preserve">Remise</w:t>
            </w:r>
          </w:p>
        </w:tc>
      </w:tr>
      <w:tr>
        <w:tc>
          <w:tcPr>
            <w:tcW w:type="dxa" w:w="3200"/>
            <w:tcBorders>
              <w:top w:val="none" w:color="FFFFFF" w:sz="0"/>
              <w:left w:val="none" w:color="FFFFFF" w:sz="0"/>
              <w:bottom w:val="single" w:color="E2E8F0" w:sz="2"/>
              <w:right w:val="none" w:color="FFFFFF" w:sz="0"/>
            </w:tcBorders>
            <w:shd w:fill="FFFFFF" w:val="clear"/>
            <w:tcMar>
              <w:top w:type="dxa" w:w="100"/>
              <w:left w:type="dxa" w:w="140"/>
              <w:bottom w:type="dxa" w:w="100"/>
              <w:right w:type="dxa" w:w="140"/>
            </w:tcMar>
          </w:tcPr>
          <w:p>
            <w:pPr>
              <w:jc w:val="left"/>
            </w:pPr>
            <w:r>
              <w:rPr>
                <w:rFonts w:ascii="Inter" w:cs="Inter" w:eastAsia="Inter" w:hAnsi="Inter"/>
                <w:b w:val="false"/>
                <w:bCs w:val="false"/>
                <w:color w:val="1A2535"/>
                <w:sz w:val="20"/>
                <w:szCs w:val="20"/>
              </w:rPr>
              <w:t xml:space="preserve">Diagnostic Essentiel</w:t>
            </w:r>
          </w:p>
        </w:tc>
        <w:tc>
          <w:tcPr>
            <w:tcW w:type="dxa" w:w="1600"/>
            <w:tcBorders>
              <w:top w:val="none" w:color="FFFFFF" w:sz="0"/>
              <w:left w:val="none" w:color="FFFFFF" w:sz="0"/>
              <w:bottom w:val="single" w:color="E2E8F0" w:sz="2"/>
              <w:right w:val="none" w:color="FFFFFF" w:sz="0"/>
            </w:tcBorders>
            <w:shd w:fill="FFFFFF" w:val="clear"/>
            <w:tcMar>
              <w:top w:type="dxa" w:w="100"/>
              <w:left w:type="dxa" w:w="140"/>
              <w:bottom w:type="dxa" w:w="100"/>
              <w:right w:type="dxa" w:w="140"/>
            </w:tcMar>
          </w:tcPr>
          <w:p>
            <w:pPr>
              <w:jc w:val="center"/>
            </w:pPr>
            <w:r>
              <w:rPr>
                <w:rFonts w:ascii="Inter" w:cs="Inter" w:eastAsia="Inter" w:hAnsi="Inter"/>
                <w:b w:val="false"/>
                <w:bCs w:val="false"/>
                <w:color w:val="1A2535"/>
                <w:sz w:val="20"/>
                <w:szCs w:val="20"/>
              </w:rPr>
              <w:t xml:space="preserve">250 €</w:t>
            </w:r>
          </w:p>
        </w:tc>
        <w:tc>
          <w:tcPr>
            <w:tcW w:type="dxa" w:w="1600"/>
            <w:tcBorders>
              <w:top w:val="none" w:color="FFFFFF" w:sz="0"/>
              <w:left w:val="none" w:color="FFFFFF" w:sz="0"/>
              <w:bottom w:val="single" w:color="E2E8F0" w:sz="2"/>
              <w:right w:val="none" w:color="FFFFFF" w:sz="0"/>
            </w:tcBorders>
            <w:shd w:fill="FFFFFF" w:val="clear"/>
            <w:tcMar>
              <w:top w:type="dxa" w:w="100"/>
              <w:left w:type="dxa" w:w="140"/>
              <w:bottom w:type="dxa" w:w="100"/>
              <w:right w:type="dxa" w:w="140"/>
            </w:tcMar>
          </w:tcPr>
          <w:p>
            <w:pPr>
              <w:jc w:val="center"/>
            </w:pPr>
            <w:r>
              <w:rPr>
                <w:rFonts w:ascii="Inter" w:cs="Inter" w:eastAsia="Inter" w:hAnsi="Inter"/>
                <w:b/>
                <w:bCs/>
                <w:color w:val="C8933A"/>
                <w:sz w:val="20"/>
                <w:szCs w:val="20"/>
              </w:rPr>
              <w:t xml:space="preserve">125 €</w:t>
            </w:r>
          </w:p>
        </w:tc>
        <w:tc>
          <w:tcPr>
            <w:tcW w:type="dxa" w:w="800"/>
            <w:tcBorders>
              <w:top w:val="none" w:color="FFFFFF" w:sz="0"/>
              <w:left w:val="none" w:color="FFFFFF" w:sz="0"/>
              <w:bottom w:val="single" w:color="E2E8F0" w:sz="2"/>
              <w:right w:val="none" w:color="FFFFFF" w:sz="0"/>
            </w:tcBorders>
            <w:shd w:fill="FFFFFF" w:val="clear"/>
            <w:tcMar>
              <w:top w:type="dxa" w:w="100"/>
              <w:left w:type="dxa" w:w="140"/>
              <w:bottom w:type="dxa" w:w="100"/>
              <w:right w:type="dxa" w:w="140"/>
            </w:tcMar>
          </w:tcPr>
          <w:p>
            <w:pPr>
              <w:jc w:val="center"/>
            </w:pPr>
            <w:r>
              <w:rPr>
                <w:rFonts w:ascii="Inter" w:cs="Inter" w:eastAsia="Inter" w:hAnsi="Inter"/>
                <w:b/>
                <w:bCs/>
                <w:color w:val="C8933A"/>
                <w:sz w:val="20"/>
                <w:szCs w:val="20"/>
              </w:rPr>
              <w:t xml:space="preserve">−50 %</w:t>
            </w:r>
          </w:p>
        </w:tc>
      </w:tr>
      <w:tr>
        <w:tc>
          <w:tcPr>
            <w:tcW w:type="dxa" w:w="3200"/>
            <w:tcBorders>
              <w:top w:val="none" w:color="FFFFFF" w:sz="0"/>
              <w:left w:val="none" w:color="FFFFFF" w:sz="0"/>
              <w:bottom w:val="single" w:color="E2E8F0" w:sz="2"/>
              <w:right w:val="none" w:color="FFFFFF" w:sz="0"/>
            </w:tcBorders>
            <w:shd w:fill="F4F7FB" w:val="clear"/>
            <w:tcMar>
              <w:top w:type="dxa" w:w="100"/>
              <w:left w:type="dxa" w:w="140"/>
              <w:bottom w:type="dxa" w:w="100"/>
              <w:right w:type="dxa" w:w="140"/>
            </w:tcMar>
          </w:tcPr>
          <w:p>
            <w:pPr>
              <w:jc w:val="left"/>
            </w:pPr>
            <w:r>
              <w:rPr>
                <w:rFonts w:ascii="Inter" w:cs="Inter" w:eastAsia="Inter" w:hAnsi="Inter"/>
                <w:b w:val="false"/>
                <w:bCs w:val="false"/>
                <w:color w:val="1A2535"/>
                <w:sz w:val="20"/>
                <w:szCs w:val="20"/>
              </w:rPr>
              <w:t xml:space="preserve">Diagnostic Expert</w:t>
            </w:r>
          </w:p>
        </w:tc>
        <w:tc>
          <w:tcPr>
            <w:tcW w:type="dxa" w:w="1600"/>
            <w:tcBorders>
              <w:top w:val="none" w:color="FFFFFF" w:sz="0"/>
              <w:left w:val="none" w:color="FFFFFF" w:sz="0"/>
              <w:bottom w:val="single" w:color="E2E8F0" w:sz="2"/>
              <w:right w:val="none" w:color="FFFFFF" w:sz="0"/>
            </w:tcBorders>
            <w:shd w:fill="F4F7FB" w:val="clear"/>
            <w:tcMar>
              <w:top w:type="dxa" w:w="100"/>
              <w:left w:type="dxa" w:w="140"/>
              <w:bottom w:type="dxa" w:w="100"/>
              <w:right w:type="dxa" w:w="140"/>
            </w:tcMar>
          </w:tcPr>
          <w:p>
            <w:pPr>
              <w:jc w:val="center"/>
            </w:pPr>
            <w:r>
              <w:rPr>
                <w:rFonts w:ascii="Inter" w:cs="Inter" w:eastAsia="Inter" w:hAnsi="Inter"/>
                <w:b w:val="false"/>
                <w:bCs w:val="false"/>
                <w:color w:val="1A2535"/>
                <w:sz w:val="20"/>
                <w:szCs w:val="20"/>
              </w:rPr>
              <w:t xml:space="preserve">390 €</w:t>
            </w:r>
          </w:p>
        </w:tc>
        <w:tc>
          <w:tcPr>
            <w:tcW w:type="dxa" w:w="1600"/>
            <w:tcBorders>
              <w:top w:val="none" w:color="FFFFFF" w:sz="0"/>
              <w:left w:val="none" w:color="FFFFFF" w:sz="0"/>
              <w:bottom w:val="single" w:color="E2E8F0" w:sz="2"/>
              <w:right w:val="none" w:color="FFFFFF" w:sz="0"/>
            </w:tcBorders>
            <w:shd w:fill="F4F7FB" w:val="clear"/>
            <w:tcMar>
              <w:top w:type="dxa" w:w="100"/>
              <w:left w:type="dxa" w:w="140"/>
              <w:bottom w:type="dxa" w:w="100"/>
              <w:right w:type="dxa" w:w="140"/>
            </w:tcMar>
          </w:tcPr>
          <w:p>
            <w:pPr>
              <w:jc w:val="center"/>
            </w:pPr>
            <w:r>
              <w:rPr>
                <w:rFonts w:ascii="Inter" w:cs="Inter" w:eastAsia="Inter" w:hAnsi="Inter"/>
                <w:b/>
                <w:bCs/>
                <w:color w:val="C8933A"/>
                <w:sz w:val="20"/>
                <w:szCs w:val="20"/>
              </w:rPr>
              <w:t xml:space="preserve">195 €</w:t>
            </w:r>
          </w:p>
        </w:tc>
        <w:tc>
          <w:tcPr>
            <w:tcW w:type="dxa" w:w="800"/>
            <w:tcBorders>
              <w:top w:val="none" w:color="FFFFFF" w:sz="0"/>
              <w:left w:val="none" w:color="FFFFFF" w:sz="0"/>
              <w:bottom w:val="single" w:color="E2E8F0" w:sz="2"/>
              <w:right w:val="none" w:color="FFFFFF" w:sz="0"/>
            </w:tcBorders>
            <w:shd w:fill="F4F7FB" w:val="clear"/>
            <w:tcMar>
              <w:top w:type="dxa" w:w="100"/>
              <w:left w:type="dxa" w:w="140"/>
              <w:bottom w:type="dxa" w:w="100"/>
              <w:right w:type="dxa" w:w="140"/>
            </w:tcMar>
          </w:tcPr>
          <w:p>
            <w:pPr>
              <w:jc w:val="center"/>
            </w:pPr>
            <w:r>
              <w:rPr>
                <w:rFonts w:ascii="Inter" w:cs="Inter" w:eastAsia="Inter" w:hAnsi="Inter"/>
                <w:b/>
                <w:bCs/>
                <w:color w:val="C8933A"/>
                <w:sz w:val="20"/>
                <w:szCs w:val="20"/>
              </w:rPr>
              <w:t xml:space="preserve">−50 %</w:t>
            </w:r>
          </w:p>
        </w:tc>
      </w:tr>
      <w:tr>
        <w:tc>
          <w:tcPr>
            <w:tcW w:type="dxa" w:w="3200"/>
            <w:tcBorders>
              <w:top w:val="none" w:color="FFFFFF" w:sz="0"/>
              <w:left w:val="none" w:color="FFFFFF" w:sz="0"/>
              <w:bottom w:val="single" w:color="E2E8F0" w:sz="2"/>
              <w:right w:val="none" w:color="FFFFFF" w:sz="0"/>
            </w:tcBorders>
            <w:shd w:fill="FFFFFF" w:val="clear"/>
            <w:tcMar>
              <w:top w:type="dxa" w:w="100"/>
              <w:left w:type="dxa" w:w="140"/>
              <w:bottom w:type="dxa" w:w="100"/>
              <w:right w:type="dxa" w:w="140"/>
            </w:tcMar>
          </w:tcPr>
          <w:p>
            <w:pPr>
              <w:jc w:val="left"/>
            </w:pPr>
            <w:r>
              <w:rPr>
                <w:rFonts w:ascii="Inter" w:cs="Inter" w:eastAsia="Inter" w:hAnsi="Inter"/>
                <w:b w:val="false"/>
                <w:bCs w:val="false"/>
                <w:color w:val="1A2535"/>
                <w:sz w:val="20"/>
                <w:szCs w:val="20"/>
              </w:rPr>
              <w:t xml:space="preserve">Diagnostic Stratégique</w:t>
            </w:r>
          </w:p>
        </w:tc>
        <w:tc>
          <w:tcPr>
            <w:tcW w:type="dxa" w:w="1600"/>
            <w:tcBorders>
              <w:top w:val="none" w:color="FFFFFF" w:sz="0"/>
              <w:left w:val="none" w:color="FFFFFF" w:sz="0"/>
              <w:bottom w:val="single" w:color="E2E8F0" w:sz="2"/>
              <w:right w:val="none" w:color="FFFFFF" w:sz="0"/>
            </w:tcBorders>
            <w:shd w:fill="FFFFFF" w:val="clear"/>
            <w:tcMar>
              <w:top w:type="dxa" w:w="100"/>
              <w:left w:type="dxa" w:w="140"/>
              <w:bottom w:type="dxa" w:w="100"/>
              <w:right w:type="dxa" w:w="140"/>
            </w:tcMar>
          </w:tcPr>
          <w:p>
            <w:pPr>
              <w:jc w:val="center"/>
            </w:pPr>
            <w:r>
              <w:rPr>
                <w:rFonts w:ascii="Inter" w:cs="Inter" w:eastAsia="Inter" w:hAnsi="Inter"/>
                <w:b w:val="false"/>
                <w:bCs w:val="false"/>
                <w:color w:val="1A2535"/>
                <w:sz w:val="20"/>
                <w:szCs w:val="20"/>
              </w:rPr>
              <w:t xml:space="preserve">950 €</w:t>
            </w:r>
          </w:p>
        </w:tc>
        <w:tc>
          <w:tcPr>
            <w:tcW w:type="dxa" w:w="1600"/>
            <w:tcBorders>
              <w:top w:val="none" w:color="FFFFFF" w:sz="0"/>
              <w:left w:val="none" w:color="FFFFFF" w:sz="0"/>
              <w:bottom w:val="single" w:color="E2E8F0" w:sz="2"/>
              <w:right w:val="none" w:color="FFFFFF" w:sz="0"/>
            </w:tcBorders>
            <w:shd w:fill="FFFFFF" w:val="clear"/>
            <w:tcMar>
              <w:top w:type="dxa" w:w="100"/>
              <w:left w:type="dxa" w:w="140"/>
              <w:bottom w:type="dxa" w:w="100"/>
              <w:right w:type="dxa" w:w="140"/>
            </w:tcMar>
          </w:tcPr>
          <w:p>
            <w:pPr>
              <w:jc w:val="center"/>
            </w:pPr>
            <w:r>
              <w:rPr>
                <w:rFonts w:ascii="Inter" w:cs="Inter" w:eastAsia="Inter" w:hAnsi="Inter"/>
                <w:b/>
                <w:bCs/>
                <w:color w:val="C8933A"/>
                <w:sz w:val="20"/>
                <w:szCs w:val="20"/>
              </w:rPr>
              <w:t xml:space="preserve">475 €</w:t>
            </w:r>
          </w:p>
        </w:tc>
        <w:tc>
          <w:tcPr>
            <w:tcW w:type="dxa" w:w="800"/>
            <w:tcBorders>
              <w:top w:val="none" w:color="FFFFFF" w:sz="0"/>
              <w:left w:val="none" w:color="FFFFFF" w:sz="0"/>
              <w:bottom w:val="single" w:color="E2E8F0" w:sz="2"/>
              <w:right w:val="none" w:color="FFFFFF" w:sz="0"/>
            </w:tcBorders>
            <w:shd w:fill="FFFFFF" w:val="clear"/>
            <w:tcMar>
              <w:top w:type="dxa" w:w="100"/>
              <w:left w:type="dxa" w:w="140"/>
              <w:bottom w:type="dxa" w:w="100"/>
              <w:right w:type="dxa" w:w="140"/>
            </w:tcMar>
          </w:tcPr>
          <w:p>
            <w:pPr>
              <w:jc w:val="center"/>
            </w:pPr>
            <w:r>
              <w:rPr>
                <w:rFonts w:ascii="Inter" w:cs="Inter" w:eastAsia="Inter" w:hAnsi="Inter"/>
                <w:b/>
                <w:bCs/>
                <w:color w:val="C8933A"/>
                <w:sz w:val="20"/>
                <w:szCs w:val="20"/>
              </w:rPr>
              <w:t xml:space="preserve">−50 %</w:t>
            </w:r>
          </w:p>
        </w:tc>
      </w:tr>
    </w:tbl>
    <w:p>
      <w:pPr>
        <w:spacing w:after="0" w:before="80"/>
      </w:pPr>
    </w:p>
    <w:p>
      <w:pPr>
        <w:spacing w:after="80" w:before="80"/>
      </w:pPr>
      <w:r>
        <w:rPr>
          <w:rFonts w:ascii="Inter" w:cs="Inter" w:eastAsia="Inter" w:hAnsi="Inter"/>
          <w:i/>
          <w:iCs/>
          <w:color w:val="6B7280"/>
          <w:sz w:val="22"/>
          <w:szCs w:val="22"/>
        </w:rPr>
        <w:t xml:space="preserve">Les tarifs partenaires sont communiqués à titre indicatif. Valorimmo se réserve le droit de faire évoluer ses tarifs publics avec un préavis de 30 jours par email, la remise de 50 % restant garantie sur la durée de la convention.</w:t>
      </w:r>
    </w:p>
    <w:p>
      <w:pPr>
        <w:spacing w:after="0" w:before="80"/>
      </w:pPr>
    </w:p>
    <w:p>
      <w:pPr>
        <w:pBdr>
          <w:bottom w:val="single" w:color="E2E8F0" w:sz="4"/>
        </w:pBdr>
        <w:spacing w:after="160" w:before="160"/>
      </w:pPr>
    </w:p>
    <w:p>
      <w:pPr>
        <w:spacing w:after="60" w:before="200"/>
      </w:pPr>
      <w:r>
        <w:rPr>
          <w:rFonts w:ascii="Inter" w:cs="Inter" w:eastAsia="Inter" w:hAnsi="Inter"/>
          <w:b/>
          <w:bCs/>
          <w:color w:val="C8933A"/>
          <w:spacing w:val="80"/>
          <w:sz w:val="17"/>
          <w:szCs w:val="17"/>
        </w:rPr>
        <w:t xml:space="preserve">ARTICLE 3 — ENGAGEMENTS DE VALORIMMO</w:t>
      </w:r>
    </w:p>
    <w:p>
      <w:pPr>
        <w:spacing w:after="80" w:before="80"/>
      </w:pPr>
      <w:r>
        <w:rPr>
          <w:rFonts w:ascii="Inter" w:cs="Inter" w:eastAsia="Inter" w:hAnsi="Inter"/>
          <w:color w:val="1A2535"/>
          <w:sz w:val="22"/>
          <w:szCs w:val="22"/>
        </w:rPr>
        <w:t xml:space="preserve">Valorimmo s'engage à :</w:t>
      </w:r>
    </w:p>
    <w:p>
      <w:pPr>
        <w:spacing w:after="60" w:before="60"/>
        <w:ind w:left="360"/>
      </w:pPr>
      <w:r>
        <w:rPr>
          <w:rFonts w:ascii="Inter" w:cs="Inter" w:eastAsia="Inter" w:hAnsi="Inter"/>
          <w:b/>
          <w:bCs/>
          <w:color w:val="C8933A"/>
          <w:sz w:val="22"/>
          <w:szCs w:val="22"/>
        </w:rPr>
        <w:t xml:space="preserve">→  </w:t>
      </w:r>
      <w:r>
        <w:rPr>
          <w:rFonts w:ascii="Inter" w:cs="Inter" w:eastAsia="Inter" w:hAnsi="Inter"/>
          <w:color w:val="1A2535"/>
          <w:sz w:val="22"/>
          <w:szCs w:val="22"/>
        </w:rPr>
        <w:t xml:space="preserve">fournir une analyse immobilière complète, indépendante et objective, fondée sur les données DVF, PLU et le marché local ;</w:t>
      </w:r>
    </w:p>
    <w:p>
      <w:pPr>
        <w:spacing w:after="60" w:before="60"/>
        <w:ind w:left="360"/>
      </w:pPr>
      <w:r>
        <w:rPr>
          <w:rFonts w:ascii="Inter" w:cs="Inter" w:eastAsia="Inter" w:hAnsi="Inter"/>
          <w:b/>
          <w:bCs/>
          <w:color w:val="C8933A"/>
          <w:sz w:val="22"/>
          <w:szCs w:val="22"/>
        </w:rPr>
        <w:t xml:space="preserve">→  </w:t>
      </w:r>
      <w:r>
        <w:rPr>
          <w:rFonts w:ascii="Inter" w:cs="Inter" w:eastAsia="Inter" w:hAnsi="Inter"/>
          <w:color w:val="1A2535"/>
          <w:sz w:val="22"/>
          <w:szCs w:val="22"/>
        </w:rPr>
        <w:t xml:space="preserve">ne pas exercer de démarchage commercial sur les clients transmis par l'Office partenaire, ni solliciter de mandat de vente ;</w:t>
      </w:r>
    </w:p>
    <w:p>
      <w:pPr>
        <w:spacing w:after="60" w:before="60"/>
        <w:ind w:left="360"/>
      </w:pPr>
      <w:r>
        <w:rPr>
          <w:rFonts w:ascii="Inter" w:cs="Inter" w:eastAsia="Inter" w:hAnsi="Inter"/>
          <w:b/>
          <w:bCs/>
          <w:color w:val="C8933A"/>
          <w:sz w:val="22"/>
          <w:szCs w:val="22"/>
        </w:rPr>
        <w:t xml:space="preserve">→  </w:t>
      </w:r>
      <w:r>
        <w:rPr>
          <w:rFonts w:ascii="Inter" w:cs="Inter" w:eastAsia="Inter" w:hAnsi="Inter"/>
          <w:color w:val="1A2535"/>
          <w:sz w:val="22"/>
          <w:szCs w:val="22"/>
        </w:rPr>
        <w:t xml:space="preserve">garantir la confidentialité des informations transmises par l'Office et ses clients ;</w:t>
      </w:r>
    </w:p>
    <w:p>
      <w:pPr>
        <w:spacing w:after="60" w:before="60"/>
        <w:ind w:left="360"/>
      </w:pPr>
      <w:r>
        <w:rPr>
          <w:rFonts w:ascii="Inter" w:cs="Inter" w:eastAsia="Inter" w:hAnsi="Inter"/>
          <w:b/>
          <w:bCs/>
          <w:color w:val="C8933A"/>
          <w:sz w:val="22"/>
          <w:szCs w:val="22"/>
        </w:rPr>
        <w:t xml:space="preserve">→  </w:t>
      </w:r>
      <w:r>
        <w:rPr>
          <w:rFonts w:ascii="Inter" w:cs="Inter" w:eastAsia="Inter" w:hAnsi="Inter"/>
          <w:color w:val="1A2535"/>
          <w:sz w:val="22"/>
          <w:szCs w:val="22"/>
        </w:rPr>
        <w:t xml:space="preserve">livrer chaque rapport sous 5 jours ouvrés à compter de la réception du dossier complet ;</w:t>
      </w:r>
    </w:p>
    <w:p>
      <w:pPr>
        <w:spacing w:after="60" w:before="60"/>
        <w:ind w:left="360"/>
      </w:pPr>
      <w:r>
        <w:rPr>
          <w:rFonts w:ascii="Inter" w:cs="Inter" w:eastAsia="Inter" w:hAnsi="Inter"/>
          <w:b/>
          <w:bCs/>
          <w:color w:val="C8933A"/>
          <w:sz w:val="22"/>
          <w:szCs w:val="22"/>
        </w:rPr>
        <w:t xml:space="preserve">→  </w:t>
      </w:r>
      <w:r>
        <w:rPr>
          <w:rFonts w:ascii="Inter" w:cs="Inter" w:eastAsia="Inter" w:hAnsi="Inter"/>
          <w:color w:val="1A2535"/>
          <w:sz w:val="22"/>
          <w:szCs w:val="22"/>
        </w:rPr>
        <w:t xml:space="preserve">attribuer un code / lien partenaire personnel et unique à l'Office dans les 48h suivant la signature de la présente convention.</w:t>
      </w:r>
    </w:p>
    <w:p>
      <w:pPr>
        <w:spacing w:after="0" w:before="80"/>
      </w:pPr>
    </w:p>
    <w:p>
      <w:pPr>
        <w:pBdr>
          <w:bottom w:val="single" w:color="E2E8F0" w:sz="4"/>
        </w:pBdr>
        <w:spacing w:after="160" w:before="160"/>
      </w:pPr>
    </w:p>
    <w:p>
      <w:pPr>
        <w:spacing w:after="60" w:before="200"/>
      </w:pPr>
      <w:r>
        <w:rPr>
          <w:rFonts w:ascii="Inter" w:cs="Inter" w:eastAsia="Inter" w:hAnsi="Inter"/>
          <w:b/>
          <w:bCs/>
          <w:color w:val="C8933A"/>
          <w:spacing w:val="80"/>
          <w:sz w:val="17"/>
          <w:szCs w:val="17"/>
        </w:rPr>
        <w:t xml:space="preserve">ARTICLE 4 — ENGAGEMENTS DU PARTENAIRE</w:t>
      </w:r>
    </w:p>
    <w:p>
      <w:pPr>
        <w:spacing w:after="80" w:before="80"/>
      </w:pPr>
      <w:r>
        <w:rPr>
          <w:rFonts w:ascii="Inter" w:cs="Inter" w:eastAsia="Inter" w:hAnsi="Inter"/>
          <w:color w:val="1A2535"/>
          <w:sz w:val="22"/>
          <w:szCs w:val="22"/>
        </w:rPr>
        <w:t xml:space="preserve">L'Office notarial partenaire s'engage à :</w:t>
      </w:r>
    </w:p>
    <w:p>
      <w:pPr>
        <w:spacing w:after="60" w:before="60"/>
        <w:ind w:left="360"/>
      </w:pPr>
      <w:r>
        <w:rPr>
          <w:rFonts w:ascii="Inter" w:cs="Inter" w:eastAsia="Inter" w:hAnsi="Inter"/>
          <w:b/>
          <w:bCs/>
          <w:color w:val="C8933A"/>
          <w:sz w:val="22"/>
          <w:szCs w:val="22"/>
        </w:rPr>
        <w:t xml:space="preserve">→  </w:t>
      </w:r>
      <w:r>
        <w:rPr>
          <w:rFonts w:ascii="Inter" w:cs="Inter" w:eastAsia="Inter" w:hAnsi="Inter"/>
          <w:color w:val="1A2535"/>
          <w:sz w:val="22"/>
          <w:szCs w:val="22"/>
        </w:rPr>
        <w:t xml:space="preserve">transmettre les dossiers via le formulaire dédié disponible sur valorimmo.app/prescripteur ou par email à contact@valorimmo.app ;</w:t>
      </w:r>
    </w:p>
    <w:p>
      <w:pPr>
        <w:spacing w:after="60" w:before="60"/>
        <w:ind w:left="360"/>
      </w:pPr>
      <w:r>
        <w:rPr>
          <w:rFonts w:ascii="Inter" w:cs="Inter" w:eastAsia="Inter" w:hAnsi="Inter"/>
          <w:b/>
          <w:bCs/>
          <w:color w:val="C8933A"/>
          <w:sz w:val="22"/>
          <w:szCs w:val="22"/>
        </w:rPr>
        <w:t xml:space="preserve">→  </w:t>
      </w:r>
      <w:r>
        <w:rPr>
          <w:rFonts w:ascii="Inter" w:cs="Inter" w:eastAsia="Inter" w:hAnsi="Inter"/>
          <w:color w:val="1A2535"/>
          <w:sz w:val="22"/>
          <w:szCs w:val="22"/>
        </w:rPr>
        <w:t xml:space="preserve">communiquer le code / lien partenaire exclusivement à ses propres clients, sans diffusion publique ;</w:t>
      </w:r>
    </w:p>
    <w:p>
      <w:pPr>
        <w:spacing w:after="60" w:before="60"/>
        <w:ind w:left="360"/>
      </w:pPr>
      <w:r>
        <w:rPr>
          <w:rFonts w:ascii="Inter" w:cs="Inter" w:eastAsia="Inter" w:hAnsi="Inter"/>
          <w:b/>
          <w:bCs/>
          <w:color w:val="C8933A"/>
          <w:sz w:val="22"/>
          <w:szCs w:val="22"/>
        </w:rPr>
        <w:t xml:space="preserve">→  </w:t>
      </w:r>
      <w:r>
        <w:rPr>
          <w:rFonts w:ascii="Inter" w:cs="Inter" w:eastAsia="Inter" w:hAnsi="Inter"/>
          <w:color w:val="1A2535"/>
          <w:sz w:val="22"/>
          <w:szCs w:val="22"/>
        </w:rPr>
        <w:t xml:space="preserve">informer ses clients que la prestation Valorimmo est indépendante et facturée directement par Valorimmo.</w:t>
      </w:r>
    </w:p>
    <w:p>
      <w:pPr>
        <w:spacing w:after="0" w:before="60"/>
      </w:pPr>
    </w:p>
    <w:p>
      <w:pPr>
        <w:shd w:fill="FEF3E2" w:val="clear"/>
        <w:spacing w:after="60" w:before="60"/>
        <w:ind w:left="360"/>
      </w:pPr>
      <w:r>
        <w:rPr>
          <w:rFonts w:ascii="Inter" w:cs="Inter" w:eastAsia="Inter" w:hAnsi="Inter"/>
          <w:b/>
          <w:bCs/>
          <w:color w:val="C8933A"/>
          <w:sz w:val="21"/>
          <w:szCs w:val="21"/>
        </w:rPr>
        <w:t xml:space="preserve">Note déontologique : </w:t>
      </w:r>
      <w:r>
        <w:rPr>
          <w:rFonts w:ascii="Inter" w:cs="Inter" w:eastAsia="Inter" w:hAnsi="Inter"/>
          <w:color w:val="92400E"/>
          <w:sz w:val="20"/>
          <w:szCs w:val="20"/>
        </w:rPr>
        <w:t xml:space="preserve">Le partenariat ne prévoit aucune contrepartie financière directe ou indirecte pour l'Office notarial. L'avantage accordé bénéficie exclusivement aux clients finaux. Ce dispositif a été conçu dans le respect des règles déontologiques applicables à la profession de notaire.</w:t>
      </w:r>
    </w:p>
    <w:p>
      <w:pPr>
        <w:spacing w:after="0" w:before="80"/>
      </w:pPr>
    </w:p>
    <w:p>
      <w:pPr>
        <w:pBdr>
          <w:bottom w:val="single" w:color="E2E8F0" w:sz="4"/>
        </w:pBdr>
        <w:spacing w:after="160" w:before="160"/>
      </w:pPr>
    </w:p>
    <w:p>
      <w:pPr>
        <w:spacing w:after="60" w:before="200"/>
      </w:pPr>
      <w:r>
        <w:rPr>
          <w:rFonts w:ascii="Inter" w:cs="Inter" w:eastAsia="Inter" w:hAnsi="Inter"/>
          <w:b/>
          <w:bCs/>
          <w:color w:val="C8933A"/>
          <w:spacing w:val="80"/>
          <w:sz w:val="17"/>
          <w:szCs w:val="17"/>
        </w:rPr>
        <w:t xml:space="preserve">ARTICLE 5 — DURÉE ET RÉSILIATION</w:t>
      </w:r>
    </w:p>
    <w:p>
      <w:pPr>
        <w:spacing w:after="80" w:before="80"/>
      </w:pPr>
      <w:r>
        <w:rPr>
          <w:rFonts w:ascii="Inter" w:cs="Inter" w:eastAsia="Inter" w:hAnsi="Inter"/>
          <w:color w:val="1A2535"/>
          <w:sz w:val="22"/>
          <w:szCs w:val="22"/>
        </w:rPr>
        <w:t xml:space="preserve">La présente convention est conclue pour une durée d'un (1) an à compter de sa signature. Elle est reconduite tacitement par périodes annuelles, sauf dénonciation par l'une ou l'autre des parties avec un préavis de 30 jours par email.</w:t>
      </w:r>
    </w:p>
    <w:p>
      <w:pPr>
        <w:spacing w:after="80" w:before="80"/>
      </w:pPr>
      <w:r>
        <w:rPr>
          <w:rFonts w:ascii="Inter" w:cs="Inter" w:eastAsia="Inter" w:hAnsi="Inter"/>
          <w:color w:val="1A2535"/>
          <w:sz w:val="22"/>
          <w:szCs w:val="22"/>
        </w:rPr>
        <w:t xml:space="preserve">Chaque partie peut résilier la convention à tout moment sans motif, sous réserve du respect du préavis. Les dossiers en cours au moment de la résiliation restent soumis aux conditions de la présente convention.</w:t>
      </w:r>
    </w:p>
    <w:p>
      <w:pPr>
        <w:spacing w:after="0" w:before="80"/>
      </w:pPr>
    </w:p>
    <w:p>
      <w:pPr>
        <w:pBdr>
          <w:bottom w:val="single" w:color="E2E8F0" w:sz="4"/>
        </w:pBdr>
        <w:spacing w:after="160" w:before="160"/>
      </w:pPr>
    </w:p>
    <w:p>
      <w:pPr>
        <w:spacing w:after="60" w:before="200"/>
      </w:pPr>
      <w:r>
        <w:rPr>
          <w:rFonts w:ascii="Inter" w:cs="Inter" w:eastAsia="Inter" w:hAnsi="Inter"/>
          <w:b/>
          <w:bCs/>
          <w:color w:val="C8933A"/>
          <w:spacing w:val="80"/>
          <w:sz w:val="17"/>
          <w:szCs w:val="17"/>
        </w:rPr>
        <w:t xml:space="preserve">ARTICLE 6 — DROIT APPLICABLE ET LITIGES</w:t>
      </w:r>
    </w:p>
    <w:p>
      <w:pPr>
        <w:spacing w:after="80" w:before="80"/>
      </w:pPr>
      <w:r>
        <w:rPr>
          <w:rFonts w:ascii="Inter" w:cs="Inter" w:eastAsia="Inter" w:hAnsi="Inter"/>
          <w:color w:val="1A2535"/>
          <w:sz w:val="22"/>
          <w:szCs w:val="22"/>
        </w:rPr>
        <w:t xml:space="preserve">La présente convention est soumise au droit français. En cas de litige, les parties s'engagent à rechercher une solution amiable avant tout recours judiciaire. À défaut d'accord, le Tribunal compétent du ressort du siège de Valorimmo sera seul compétent.</w:t>
      </w:r>
    </w:p>
    <w:p>
      <w:pPr>
        <w:spacing w:after="0" w:before="120"/>
      </w:pPr>
    </w:p>
    <w:p>
      <w:pPr>
        <w:pBdr>
          <w:bottom w:val="single" w:color="E2E8F0" w:sz="4"/>
        </w:pBdr>
        <w:spacing w:after="160" w:before="160"/>
      </w:pPr>
    </w:p>
    <w:p>
      <w:pPr>
        <w:spacing w:after="60" w:before="200"/>
      </w:pPr>
      <w:r>
        <w:rPr>
          <w:rFonts w:ascii="Inter" w:cs="Inter" w:eastAsia="Inter" w:hAnsi="Inter"/>
          <w:b/>
          <w:bCs/>
          <w:color w:val="C8933A"/>
          <w:spacing w:val="80"/>
          <w:sz w:val="17"/>
          <w:szCs w:val="17"/>
        </w:rPr>
        <w:t xml:space="preserve">SIGNATURES</w:t>
      </w:r>
    </w:p>
    <w:p>
      <w:pPr>
        <w:spacing w:after="80" w:before="80"/>
      </w:pPr>
      <w:r>
        <w:rPr>
          <w:rFonts w:ascii="Inter" w:cs="Inter" w:eastAsia="Inter" w:hAnsi="Inter"/>
          <w:color w:val="1A2535"/>
          <w:sz w:val="22"/>
          <w:szCs w:val="22"/>
        </w:rPr>
        <w:t xml:space="preserve">Fait en deux exemplaires originaux, à ________________________, le _____ / _____ / 2026</w:t>
      </w:r>
    </w:p>
    <w:p>
      <w:pPr>
        <w:spacing w:after="0" w:before="120"/>
      </w:pP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4719"/>
        <w:gridCol w:w="4919"/>
      </w:tblGrid>
      <w:tr>
        <w:tc>
          <w:tcPr>
            <w:tcW w:type="dxa" w:w="42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60" w:before="0"/>
            </w:pPr>
            <w:r>
              <w:rPr>
                <w:rFonts w:ascii="Inter" w:cs="Inter" w:eastAsia="Inter" w:hAnsi="Inter"/>
                <w:b/>
                <w:bCs/>
                <w:color w:val="1B2D5B"/>
                <w:sz w:val="19"/>
                <w:szCs w:val="19"/>
              </w:rPr>
              <w:t xml:space="preserve">Pour Valorimmo</w:t>
            </w:r>
          </w:p>
          <w:p>
            <w:pPr>
              <w:spacing w:after="40" w:before="40"/>
            </w:pPr>
            <w:r>
              <w:rPr>
                <w:rFonts w:ascii="Inter" w:cs="Inter" w:eastAsia="Inter" w:hAnsi="Inter"/>
                <w:color w:val="1A2535"/>
                <w:sz w:val="20"/>
                <w:szCs w:val="20"/>
              </w:rPr>
              <w:t xml:space="preserve">Laurent Buffard
Expert en valorisation immobilière</w:t>
            </w:r>
          </w:p>
          <w:p>
            <w:pPr>
              <w:pBdr>
                <w:bottom w:val="single" w:color="E2E8F0" w:sz="4"/>
              </w:pBdr>
              <w:spacing w:after="0" w:before="200"/>
            </w:pPr>
            <w:r>
              <w:rPr>
                <w:rFonts w:ascii="Inter" w:cs="Inter" w:eastAsia="Inter" w:hAnsi="Inter"/>
                <w:color w:val="6B7280"/>
                <w:sz w:val="18"/>
                <w:szCs w:val="18"/>
              </w:rPr>
              <w:t xml:space="preserve">Signature :</w:t>
            </w:r>
          </w:p>
          <w:p>
            <w:pPr>
              <w:spacing w:after="0" w:before="80"/>
            </w:pPr>
          </w:p>
          <w:p>
            <w:pPr>
              <w:spacing w:after="0" w:before="80"/>
            </w:pPr>
          </w:p>
        </w:tc>
        <w:tc>
          <w:tcPr>
            <w:tcW w:type="dxa" w:w="42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60" w:before="0"/>
            </w:pPr>
            <w:r>
              <w:rPr>
                <w:rFonts w:ascii="Inter" w:cs="Inter" w:eastAsia="Inter" w:hAnsi="Inter"/>
                <w:b/>
                <w:bCs/>
                <w:color w:val="1B2D5B"/>
                <w:sz w:val="19"/>
                <w:szCs w:val="19"/>
              </w:rPr>
              <w:t xml:space="preserve">Pour l'Office notarial</w:t>
            </w:r>
          </w:p>
          <w:p>
            <w:pPr>
              <w:spacing w:after="40" w:before="40"/>
            </w:pPr>
            <w:r>
              <w:rPr>
                <w:rFonts w:ascii="Inter" w:cs="Inter" w:eastAsia="Inter" w:hAnsi="Inter"/>
                <w:color w:val="1A2535"/>
                <w:sz w:val="20"/>
                <w:szCs w:val="20"/>
              </w:rPr>
              <w:t xml:space="preserve">Me ___________________________
Notaire associé(e)</w:t>
            </w:r>
          </w:p>
          <w:p>
            <w:pPr>
              <w:pBdr>
                <w:bottom w:val="single" w:color="E2E8F0" w:sz="4"/>
              </w:pBdr>
              <w:spacing w:after="0" w:before="200"/>
            </w:pPr>
            <w:r>
              <w:rPr>
                <w:rFonts w:ascii="Inter" w:cs="Inter" w:eastAsia="Inter" w:hAnsi="Inter"/>
                <w:color w:val="6B7280"/>
                <w:sz w:val="18"/>
                <w:szCs w:val="18"/>
              </w:rPr>
              <w:t xml:space="preserve">Signature :</w:t>
            </w:r>
          </w:p>
          <w:p>
            <w:pPr>
              <w:spacing w:after="0" w:before="80"/>
            </w:pPr>
          </w:p>
          <w:p>
            <w:pPr>
              <w:spacing w:after="0" w:before="80"/>
            </w:pP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pBdr>
      <w:spacing w:after="0" w:before="120"/>
      <w:jc w:val="center"/>
    </w:pPr>
    <w:r>
      <w:rPr>
        <w:rFonts w:ascii="Inter" w:cs="Inter" w:eastAsia="Inter" w:hAnsi="Inter"/>
        <w:color w:val="6B7280"/>
        <w:sz w:val="17"/>
        <w:szCs w:val="17"/>
      </w:rPr>
      <w:t xml:space="preserve">Valorimmo · contact@valorimmo.app · valorimmo.app   —   Document confidentiel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933A" w:sz="6"/>
      </w:pBdr>
      <w:spacing w:after="160" w:before="0"/>
    </w:pPr>
    <w:r>
      <w:rPr>
        <w:rFonts w:ascii="Poppins" w:cs="Poppins" w:eastAsia="Poppins" w:hAnsi="Poppins"/>
        <w:b/>
        <w:bCs/>
        <w:i/>
        <w:iCs/>
        <w:color w:val="1B2D5B"/>
        <w:sz w:val="26"/>
        <w:szCs w:val="26"/>
      </w:rPr>
      <w:t xml:space="preserve">valor</w:t>
    </w:r>
    <w:r>
      <w:rPr>
        <w:rFonts w:ascii="Poppins" w:cs="Poppins" w:eastAsia="Poppins" w:hAnsi="Poppins"/>
        <w:b/>
        <w:bCs/>
        <w:i/>
        <w:iCs/>
        <w:color w:val="C8933A"/>
        <w:sz w:val="26"/>
        <w:szCs w:val="26"/>
      </w:rPr>
      <w:t xml:space="preserve">immo</w:t>
    </w:r>
    <w:r>
      <w:rPr>
        <w:rFonts w:ascii="Inter" w:cs="Inter" w:eastAsia="Inter" w:hAnsi="Inter"/>
        <w:color w:val="6B7280"/>
        <w:sz w:val="20"/>
        <w:szCs w:val="20"/>
      </w:rPr>
      <w:t xml:space="preserve">   ·   Convention de Partenariat Notaire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2026-06-27T13:29:08.086Z</dcterms:created>
  <dcterms:modified xsi:type="dcterms:W3CDTF">2026-06-27T13:29:08.087Z</dcterms:modified>
</cp:coreProperties>
</file>

<file path=docProps/custom.xml><?xml version="1.0" encoding="utf-8"?>
<Properties xmlns="http://schemas.openxmlformats.org/officeDocument/2006/custom-properties" xmlns:vt="http://schemas.openxmlformats.org/officeDocument/2006/docPropsVTypes"/>
</file>