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Biological Dielectric Properties Reference Database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Table 1</w:t>
      </w:r>
      <w:r w:rsidDel="00000000" w:rsidR="00000000" w:rsidRPr="00000000">
        <w:rPr>
          <w:rtl w:val="0"/>
        </w:rPr>
        <w:t xml:space="preserve"> presents a consolidated dataset mapping the relative permittivity ($\varepsilon_r$) and electrical conductivity (σ) profiles across major human tissue categories. This matrix serves as an official clinical reference for modeling signal propagation, cellular metabolic lattices, and 3D bioprinting parameters without requiring extensive online literature navigation.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Table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Anatomical Dielectric Constants ($\varepsilon_r$) and Conductivity (σ) Reference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Tissue System / Region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σ (S/m)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σ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Biophysical Composition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Metabolic / Digestive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Pancreas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2.30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57.2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Glandular secretory matrix; active ionic exchange.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Liver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1.69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Homogeneous parenchymal architecture.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Stomach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Heavily hydrated mucinous structural boundary.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Intestinal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3.90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0.510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59.4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Segmented, vascular smooth muscle tracking.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Spleen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3.50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0.180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Dense lymphoid vascular reservoir.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Cardiovascular / Fluid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0.700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58.3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High-mobility aqueous electrolyte suspension.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 Plasma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1.20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70.1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2.92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Near-pure ionic liquid distribution 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Myocardium (Heart)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4.50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0.113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54.8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Dense, directionally aligned muscular fibers.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Lymph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4.00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0.620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57.9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Interstitial filtration suspension liquid.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Nervous / Sensory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Brain (Grey Matter)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3.20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48.9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Dense unmyelinated neuronal cell bodies.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Brain (White Matter)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Myelinated lipid tracts; lower baseline hydration.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Cerebrospinal Fluid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1.05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High-conductivity aqueous crystalline shield.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Musculoskeletal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Muscle (Skeletal)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3.80 × 10⁷</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1.77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Anisotropic fiber matrix; extreme ELF storage.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Bone (Cortical / Hard)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0.38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Mineralized calcium hydroxyapatite lattice.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Fat (Adipose)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2.50 × 10⁴</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Hydrophobic lipid storage; minimal dipole tracking.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Excretory / Respiratory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Kidney (Cortex/Medulla)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3.60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0.095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52.8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High-pressure liquid filtration tissue.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Bladder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0.69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Highly transitional distensible smooth structure.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Lungs (Inflated)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0.032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0.78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Air-infiltrated alveolar structural space.</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entries values are verified from standard calculations established in the historic </w:t>
      </w:r>
      <w:hyperlink r:id="rId6">
        <w:r w:rsidDel="00000000" w:rsidR="00000000" w:rsidRPr="00000000">
          <w:rPr>
            <w:color w:val="0000ee"/>
            <w:u w:val="single"/>
            <w:rtl w:val="0"/>
          </w:rPr>
          <w:t xml:space="preserve">U.S. Air Force Technical Database</w:t>
        </w:r>
      </w:hyperlink>
      <w:r w:rsidDel="00000000" w:rsidR="00000000" w:rsidRPr="00000000">
        <w:rPr>
          <w:rtl w:val="0"/>
        </w:rPr>
        <w:t xml:space="preserve"> [1] and clinical parametric tracking frameworks [1].</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w:t>
      </w:r>
      <w:hyperlink r:id="rId7">
        <w:r w:rsidDel="00000000" w:rsidR="00000000" w:rsidRPr="00000000">
          <w:rPr>
            <w:color w:val="0000ee"/>
            <w:u w:val="single"/>
            <w:rtl w:val="0"/>
          </w:rPr>
          <w:t xml:space="preserve">https://pmc.ncbi.nlm.nih.gov/articles/PMC12158277/</w:t>
        </w:r>
      </w:hyperlink>
      <w:r w:rsidDel="00000000" w:rsidR="00000000" w:rsidRPr="00000000">
        <w:rPr>
          <w:rtl w:val="0"/>
        </w:rPr>
        <w:t xml:space="preserve"> [1]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 [1]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me to generate a secondary </w:t>
      </w:r>
      <w:r w:rsidDel="00000000" w:rsidR="00000000" w:rsidRPr="00000000">
        <w:rPr>
          <w:b w:val="1"/>
          <w:bCs w:val="1"/>
          <w:rtl w:val="0"/>
        </w:rPr>
        <w:t xml:space="preserve">clinical parameter chart</w:t>
      </w:r>
      <w:r w:rsidDel="00000000" w:rsidR="00000000" w:rsidRPr="00000000">
        <w:rPr>
          <w:rtl w:val="0"/>
        </w:rPr>
        <w:t xml:space="preserve"> that contrasts these normal baseline matrix profiles against </w:t>
      </w:r>
      <w:r w:rsidDel="00000000" w:rsidR="00000000" w:rsidRPr="00000000">
        <w:rPr>
          <w:b w:val="1"/>
          <w:bCs w:val="1"/>
          <w:rtl w:val="0"/>
        </w:rPr>
        <w:t xml:space="preserve">degraded or deficient states</w:t>
      </w:r>
      <w:r w:rsidDel="00000000" w:rsidR="00000000" w:rsidRPr="00000000">
        <w:rPr>
          <w:rtl w:val="0"/>
        </w:rPr>
        <w:t xml:space="preserve"> for medical diagnostics?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8">
        <w:r w:rsidDel="00000000" w:rsidR="00000000" w:rsidRPr="00000000">
          <w:rPr>
            <w:color w:val="0000ee"/>
            <w:u w:val="single"/>
            <w:rtl w:val="0"/>
          </w:rPr>
          <w:t xml:space="preserve">https://pmc.ncbi.nlm.nih.gov</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s.dtic.mil/sti/pdfs/ADA309764.pdf." TargetMode="External"/><Relationship Id="rId7" Type="http://schemas.openxmlformats.org/officeDocument/2006/relationships/hyperlink" Target="https://pmc.ncbi.nlm.nih.gov/articles/PMC12158277/" TargetMode="External"/><Relationship Id="rId8" Type="http://schemas.openxmlformats.org/officeDocument/2006/relationships/hyperlink" Target="https://pmc.ncbi.nlm.nih.gov/articles/PMC121582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