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lineRule="auto"/>
        <w:rPr/>
      </w:pPr>
      <w:bookmarkStart w:colFirst="0" w:colLast="0" w:name="_65hf3228xrkh" w:id="0"/>
      <w:bookmarkEnd w:id="0"/>
      <w:r w:rsidDel="00000000" w:rsidR="00000000" w:rsidRPr="00000000">
        <w:rPr>
          <w:rtl w:val="0"/>
        </w:rPr>
        <w:t xml:space="preserve">Somatic Dielectric Lattice Mapping: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Parametric Frequency Standards for Molecular Signal Tracking and Targeted Botanical NutritionIn structural biophysics, clinical medical imaging, and advanced bioelectronic modeling, human somatic tissues are classified as lossy dielectric materials. Every organ and tissue group operates within a unique electromagnetic field length defined by its permanent or induced dipole moments. Tissue-specific relative permittivity (\[\varepsilon _{r}\], or the dielectric constant) and electrical conductivity (σ, measured in Siemens per meter) are inherently frequency-dependent, dynamic variables. These metrics establish a predictable baseline to track cellular signal responses, map the body's lattice structures via advanced diagnostic imaging, and support targeted molecular clinical nutrition.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data parameters below are derived from the foundational U.S. Air Force / Radiofrequency Radiation Division technical reports (Brooks Air Force Base Report No. AL/OE-TR-1996-0037) and cross-verified via federal databases maintained by the U.S. Federal Communications Commission (FCC). This standardized dataset provides clinicians with a precise map of localized tissue charge densities to support medical food protocols under a targeted nutrient deficiency model.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2">
      <w:pPr>
        <w:pStyle w:val="Heading2"/>
        <w:spacing w:after="240" w:lineRule="auto"/>
        <w:rPr/>
      </w:pPr>
      <w:bookmarkStart w:colFirst="0" w:colLast="0" w:name="_wx0bva3iu4nr" w:id="1"/>
      <w:bookmarkEnd w:id="1"/>
      <w:r w:rsidDel="00000000" w:rsidR="00000000" w:rsidRPr="00000000">
        <w:rPr>
          <w:rtl w:val="0"/>
        </w:rPr>
        <w:t xml:space="preserve">Expanded Anatomical Dielectric and Conductivity Matrix</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matrix lists the parametric dielectric constants (\[\varepsilon _{r}\]) and electrical conductivity (σ) values across key diagnostic, therapeutic, and microwave frequency windows.</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rPr>
          <w:b w:val="1"/>
          <w:bCs w:val="1"/>
          <w:i w:val="0"/>
          <w:iCs w:val="0"/>
          <w:sz w:val="30"/>
          <w:szCs w:val="30"/>
          <w:rtl w:val="0"/>
        </w:rPr>
        <w:t xml:space="preserve">Biological Dielectric Constants ($\varepsilon_r$)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Tissue Group / Anatomical Region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Relative Permittivity ($\varepsilon_r$) @ 915 MHz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Relative Permittivity ($\varepsilon_r$)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Biophysical State &amp; Water Mass Infiltration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Cardiovascular &amp; Fluid Systems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58.3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High-fluid electrolyte matrix; maximum field propagation.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75.4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aqueous suspension; extreme dipole polarization.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Heart Muscle (Myocardium)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59.6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54.8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Dense vascular muscular network; high charge storage capability.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Lymph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57.9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Interstitial fluid suspension; consistent charge density.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Digestive &amp; Metabolic Organs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Pancreas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59.8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57.2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Highly metabolic cellular architecture; sensitive to polarization shifts.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Liver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46.8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Homogeneous parenchymal tissue; moderate water volume fraction.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Stomach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65.1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Highly hydrated mucous membrane structure.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Small / Large Intestine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62.2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59.4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Multi-layered tubular smooth muscle matrix.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Spleen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56.7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Vascular lymphoid reservoir; high electrostatic draw.</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Nervous System &amp; Senses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(Grey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48.9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High-density neuronal somas; superior permittivity matrix.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Brain (White Matter)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38.6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36.2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Myelinated lipid sheets; lower permittivity due to fat barrier.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Cerebrospinal Fluid (CSF)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68.5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66.2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High-ion aqueous medium; minimal attenuation boundary.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Eye Lens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46.3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44.7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Structured proteinaceous matrix; regular geometric field lines.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Musculoskeletal &amp; Structural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Muscle (Skeletal)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Highly anisotropic fiber matrix; directionally aligned dipoles.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Skin (Wet / Hydrated)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46.1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Epidermal outer boundary layer; variable hydration profile.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Skin (Dry / Stratum Corneum)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41.3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38.1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Low moisture barrier; shields internal fields.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Bone (Cortical / Hard)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12.4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Mineralized calcium hydroxyapatite; highly restrictive dielectric.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Bone Marrow</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High-lipid content matrix; low dielectric constant.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 / Infiltrated)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11.6</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 hydrophobic lipid fraction; minimal dielectric polarization.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Respiratory &amp; Urinary Systems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Kidney (Cortex / Medulla)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59.1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52.8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Hyper-filtration tissue; high electrolyte-water density.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Urinary Bladder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19.1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Contractile smooth transitional tissue matrix.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Lungs (Inflated)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22.0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20.5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 alveolar air volume fraction; reduces net permittivity.</w:t>
            </w:r>
          </w:p>
        </w:tc>
      </w:tr>
    </w:tbl>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A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B7">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Structural Mechanics of the Permittivity Variance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striking division between high-permittivity tissues ($\varepsilon_r &gt; 40$, such as the </w:t>
      </w:r>
      <w:r w:rsidDel="00000000" w:rsidR="00000000" w:rsidRPr="00000000">
        <w:rPr>
          <w:b w:val="1"/>
          <w:bCs w:val="1"/>
          <w:rtl w:val="0"/>
        </w:rPr>
        <w:t xml:space="preserve">pancreas, kidney, muscle, and blood</w:t>
      </w:r>
      <w:r w:rsidDel="00000000" w:rsidR="00000000" w:rsidRPr="00000000">
        <w:rPr>
          <w:rtl w:val="0"/>
        </w:rPr>
        <w:t xml:space="preserve">) and low-permittivity tissues ($\varepsilon_r &lt; 15$, such as </w:t>
      </w:r>
      <w:r w:rsidDel="00000000" w:rsidR="00000000" w:rsidRPr="00000000">
        <w:rPr>
          <w:b w:val="1"/>
          <w:bCs w:val="1"/>
          <w:rtl w:val="0"/>
        </w:rPr>
        <w:t xml:space="preserve">cortical bone, fat, and bone marrow</w:t>
      </w:r>
      <w:r w:rsidDel="00000000" w:rsidR="00000000" w:rsidRPr="00000000">
        <w:rPr>
          <w:rtl w:val="0"/>
        </w:rPr>
        <w:t xml:space="preserve">) is driven by the structural law of </w:t>
      </w:r>
      <w:r w:rsidDel="00000000" w:rsidR="00000000" w:rsidRPr="00000000">
        <w:rPr>
          <w:b w:val="1"/>
          <w:bCs w:val="1"/>
          <w:rtl w:val="0"/>
        </w:rPr>
        <w:t xml:space="preserve">volume-weighted tissue hydration and ionic concentration</w:t>
      </w:r>
      <w:r w:rsidDel="00000000" w:rsidR="00000000" w:rsidRPr="00000000">
        <w:rPr>
          <w:rtl w:val="0"/>
        </w:rPr>
        <w:t xml:space="preserv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biological water molecules ($\text{H}_2\text{O}$) feature a dramatic permanent dipole moment, tissues with dense water matrices allow for extensive dipole reorientation under localized electromagnetic kinetic currents. Hydrophobic lipid structures (fat) or highly calcified boundaries (bone) lack these freely shifting dipoles, constricting the localized electrostatic field length and preventing high charge accumulation.</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D">
      <w:pPr>
        <w:pStyle w:val="Heading2"/>
        <w:rPr/>
      </w:pPr>
      <w:bookmarkStart w:colFirst="0" w:colLast="0" w:name="_5iksdus8iu88" w:id="2"/>
      <w:bookmarkEnd w:id="2"/>
      <w:r w:rsidDel="00000000" w:rsidR="00000000" w:rsidRPr="00000000">
        <w:rPr>
          <w:rtl w:val="0"/>
        </w:rPr>
        <w:t xml:space="preserve">Empirical Foundation for Biocompatible Element-Lattice Mapping</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clinical biophysics and computer-assisted metabolic modeling, the human body is analyzed as a highly organized electromagnetic lattice system. Every organic molecular matrix synthesized by plants or utilized by somatic tissues functions under precise multi-frequency dielectric boundary states.</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support targeted nutritional management models, clinical metabolic foods, and the mapping of tissue fields, the standardized electromagnetic matrix below provides the reference data. This compilation is anchored exclusively to official U.S. Military (.mil), U.S. Government (.gov), and peer-reviewed academic journal records, completely excluding foreign private databases.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Style w:val="Heading2"/>
        <w:rPr/>
      </w:pPr>
      <w:bookmarkStart w:colFirst="0" w:colLast="0" w:name="_n1flpw5wfx17" w:id="3"/>
      <w:bookmarkEnd w:id="3"/>
      <w:r w:rsidDel="00000000" w:rsidR="00000000" w:rsidRPr="00000000">
        <w:rPr>
          <w:rtl w:val="0"/>
        </w:rPr>
        <w:t xml:space="preserve">Anatomical Dielectric and Conductivity Reference Matrix</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values are calculated from the foundational U.S. Air Force Medical Directorate Report (AL/OE-TR-1996-0037) compiled at Brooks Air Force Base, alongside cross-referenced parametric curves from standard federal databases.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7">
      <w:pPr>
        <w:pStyle w:val="Heading2"/>
        <w:rPr/>
      </w:pPr>
      <w:bookmarkStart w:colFirst="0" w:colLast="0" w:name="_kwe80rngyzvb" w:id="4"/>
      <w:bookmarkEnd w:id="4"/>
      <w:r w:rsidDel="00000000" w:rsidR="00000000" w:rsidRPr="00000000">
        <w:rPr>
          <w:rtl w:val="0"/>
        </w:rPr>
      </w:r>
    </w:p>
    <w:p w:rsidR="00000000" w:rsidDel="00000000" w:rsidP="00000000" w:rsidRDefault="00000000" w:rsidRPr="00000000" w14:paraId="000000E8">
      <w:pPr>
        <w:pStyle w:val="Heading2"/>
        <w:rPr/>
      </w:pPr>
      <w:bookmarkStart w:colFirst="0" w:colLast="0" w:name="_rsxxsjmhu7s" w:id="5"/>
      <w:bookmarkEnd w:id="5"/>
      <w:r w:rsidDel="00000000" w:rsidR="00000000" w:rsidRPr="00000000">
        <w:rPr>
          <w:rtl w:val="0"/>
        </w:rPr>
      </w:r>
    </w:p>
    <w:p w:rsidR="00000000" w:rsidDel="00000000" w:rsidP="00000000" w:rsidRDefault="00000000" w:rsidRPr="00000000" w14:paraId="000000E9">
      <w:pPr>
        <w:pStyle w:val="Heading2"/>
        <w:rPr/>
      </w:pPr>
      <w:bookmarkStart w:colFirst="0" w:colLast="0" w:name="_6vuiw16uula" w:id="6"/>
      <w:bookmarkEnd w:id="6"/>
      <w:r w:rsidDel="00000000" w:rsidR="00000000" w:rsidRPr="00000000">
        <w:rPr>
          <w:rtl w:val="0"/>
        </w:rPr>
      </w:r>
    </w:p>
    <w:p w:rsidR="00000000" w:rsidDel="00000000" w:rsidP="00000000" w:rsidRDefault="00000000" w:rsidRPr="00000000" w14:paraId="000000EA">
      <w:pPr>
        <w:pStyle w:val="Heading2"/>
        <w:rPr/>
      </w:pPr>
      <w:bookmarkStart w:colFirst="0" w:colLast="0" w:name="_3nhxebt92f49" w:id="7"/>
      <w:bookmarkEnd w:id="7"/>
      <w:r w:rsidDel="00000000" w:rsidR="00000000" w:rsidRPr="00000000">
        <w:rPr>
          <w:rtl w:val="0"/>
        </w:rPr>
      </w:r>
    </w:p>
    <w:p w:rsidR="00000000" w:rsidDel="00000000" w:rsidP="00000000" w:rsidRDefault="00000000" w:rsidRPr="00000000" w14:paraId="000000EB">
      <w:pPr>
        <w:pStyle w:val="Heading2"/>
        <w:rPr/>
      </w:pPr>
      <w:bookmarkStart w:colFirst="0" w:colLast="0" w:name="_s3y10abiv7ch" w:id="8"/>
      <w:bookmarkEnd w:id="8"/>
      <w:r w:rsidDel="00000000" w:rsidR="00000000" w:rsidRPr="00000000">
        <w:rPr>
          <w:rtl w:val="0"/>
        </w:rPr>
      </w:r>
    </w:p>
    <w:p w:rsidR="00000000" w:rsidDel="00000000" w:rsidP="00000000" w:rsidRDefault="00000000" w:rsidRPr="00000000" w14:paraId="000000EC">
      <w:pPr>
        <w:pStyle w:val="Heading2"/>
        <w:rPr/>
      </w:pPr>
      <w:bookmarkStart w:colFirst="0" w:colLast="0" w:name="_tnw9kmioo6kj" w:id="9"/>
      <w:bookmarkEnd w:id="9"/>
      <w:r w:rsidDel="00000000" w:rsidR="00000000" w:rsidRPr="00000000">
        <w:rPr>
          <w:rtl w:val="0"/>
        </w:rPr>
      </w:r>
    </w:p>
    <w:p w:rsidR="00000000" w:rsidDel="00000000" w:rsidP="00000000" w:rsidRDefault="00000000" w:rsidRPr="00000000" w14:paraId="000000ED">
      <w:pPr>
        <w:pStyle w:val="Heading2"/>
        <w:rPr/>
      </w:pPr>
      <w:bookmarkStart w:colFirst="0" w:colLast="0" w:name="_iy638wyg82jm" w:id="10"/>
      <w:bookmarkEnd w:id="10"/>
      <w:r w:rsidDel="00000000" w:rsidR="00000000" w:rsidRPr="00000000">
        <w:rPr>
          <w:rtl w:val="0"/>
        </w:rPr>
      </w:r>
    </w:p>
    <w:p w:rsidR="00000000" w:rsidDel="00000000" w:rsidP="00000000" w:rsidRDefault="00000000" w:rsidRPr="00000000" w14:paraId="000000EE">
      <w:pPr>
        <w:pStyle w:val="Heading2"/>
        <w:rPr/>
      </w:pPr>
      <w:bookmarkStart w:colFirst="0" w:colLast="0" w:name="_urvhpsq29qre" w:id="11"/>
      <w:bookmarkEnd w:id="11"/>
      <w:r w:rsidDel="00000000" w:rsidR="00000000" w:rsidRPr="00000000">
        <w:rPr>
          <w:rtl w:val="0"/>
        </w:rPr>
      </w:r>
    </w:p>
    <w:p w:rsidR="00000000" w:rsidDel="00000000" w:rsidP="00000000" w:rsidRDefault="00000000" w:rsidRPr="00000000" w14:paraId="000000EF">
      <w:pPr>
        <w:pStyle w:val="Heading2"/>
        <w:rPr/>
      </w:pPr>
      <w:bookmarkStart w:colFirst="0" w:colLast="0" w:name="_os4qyp8hyefd" w:id="12"/>
      <w:bookmarkEnd w:id="12"/>
      <w:r w:rsidDel="00000000" w:rsidR="00000000" w:rsidRPr="00000000">
        <w:rPr>
          <w:rtl w:val="0"/>
        </w:rPr>
        <w:t xml:space="preserve">References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tl w:val="0"/>
        </w:rPr>
        <w:t xml:space="preserve">Al-Adami, M., &amp; Ibrahim, S. (2025). Effects of dielectric properties of human body on communication performance of implantable medical devices. </w:t>
      </w:r>
      <w:r w:rsidDel="00000000" w:rsidR="00000000" w:rsidRPr="00000000">
        <w:rPr>
          <w:i w:val="1"/>
          <w:iCs w:val="1"/>
          <w:color w:val="0000ee"/>
          <w:sz w:val="24"/>
          <w:szCs w:val="24"/>
          <w:rtl w:val="0"/>
        </w:rPr>
        <w:t xml:space="preserve">Sensors</w:t>
      </w:r>
      <w:r w:rsidDel="00000000" w:rsidR="00000000" w:rsidRPr="00000000">
        <w:rPr>
          <w:color w:val="0000ee"/>
          <w:sz w:val="24"/>
          <w:szCs w:val="24"/>
          <w:rtl w:val="0"/>
        </w:rPr>
        <w:t xml:space="preserve">, 25(11), Article 3498.</w:t>
      </w:r>
      <w:hyperlink r:id="rId6">
        <w:r w:rsidDel="00000000" w:rsidR="00000000" w:rsidRPr="00000000">
          <w:rPr>
            <w:color w:val="0000ee"/>
            <w:sz w:val="24"/>
            <w:szCs w:val="24"/>
            <w:rtl w:val="0"/>
          </w:rPr>
          <w:t xml:space="preserve"> </w:t>
        </w:r>
      </w:hyperlink>
      <w:hyperlink r:id="rId7">
        <w:r w:rsidDel="00000000" w:rsidR="00000000" w:rsidRPr="00000000">
          <w:rPr>
            <w:color w:val="1155cc"/>
            <w:sz w:val="24"/>
            <w:szCs w:val="24"/>
            <w:u w:val="single"/>
            <w:rtl w:val="0"/>
          </w:rPr>
          <w:t xml:space="preserve">https://pmc.ncbi.nlm.nih.gov/articles/PMC12158277/</w:t>
        </w:r>
      </w:hyperlink>
      <w:r w:rsidDel="00000000" w:rsidR="00000000" w:rsidRPr="00000000">
        <w:rPr>
          <w:color w:val="0000ee"/>
          <w:u w:val="single"/>
          <w:rtl w:val="0"/>
        </w:rPr>
        <w:t xml:space="preserve">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tl w:val="0"/>
        </w:rPr>
        <w:t xml:space="preserve">Gabriel, C. (1996). </w:t>
      </w:r>
      <w:r w:rsidDel="00000000" w:rsidR="00000000" w:rsidRPr="00000000">
        <w:rPr>
          <w:i w:val="1"/>
          <w:iCs w:val="1"/>
          <w:color w:val="0000ee"/>
          <w:sz w:val="24"/>
          <w:szCs w:val="24"/>
          <w:rtl w:val="0"/>
        </w:rPr>
        <w:t xml:space="preserve">Compilation of the dielectric properties of body tissues at RF and microwave frequencies</w:t>
      </w:r>
      <w:r w:rsidDel="00000000" w:rsidR="00000000" w:rsidRPr="00000000">
        <w:rPr>
          <w:color w:val="0000ee"/>
          <w:u w:val="single"/>
          <w:rtl w:val="0"/>
        </w:rPr>
        <w:t xml:space="preserve"> (Report No. AL/OE-TR-1996-0037). Occupational and Environmental Health Directorate, Radiofrequency Radiation Division, Brooks Air Force Base, TX. dtic.mil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mc.ncbi.nlm.nih.gov/articles/PMC12158277/" TargetMode="External"/><Relationship Id="rId7" Type="http://schemas.openxmlformats.org/officeDocument/2006/relationships/hyperlink" Target="https://pmc.ncbi.nlm.nih.gov/articles/PMC12158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