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rPr>
          <w:b w:val="1"/>
          <w:bCs w:val="1"/>
          <w:i w:val="0"/>
          <w:iCs w:val="0"/>
          <w:sz w:val="30"/>
          <w:szCs w:val="30"/>
          <w:rtl w:val="0"/>
        </w:rPr>
        <w:t xml:space="preserve">Biophysical Framework of Multipole Expansion and Electrostatic Molecular Matching</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 computational biology and structural biophysics, molecular docking and recognition are fundamentally governed by </w:t>
      </w:r>
      <w:r w:rsidDel="00000000" w:rsidR="00000000" w:rsidRPr="00000000">
        <w:rPr>
          <w:b w:val="1"/>
          <w:bCs w:val="1"/>
          <w:rtl w:val="0"/>
        </w:rPr>
        <w:t xml:space="preserve">electrostatic potential fields, dipole-dipole interactions, and spatial charge distributions</w:t>
      </w:r>
      <w:r w:rsidDel="00000000" w:rsidR="00000000" w:rsidRPr="00000000">
        <w:rPr>
          <w:rtl w:val="0"/>
        </w:rPr>
        <w:t xml:space="preserve">. Every bioactive compound maps to a specific </w:t>
      </w:r>
      <w:r w:rsidDel="00000000" w:rsidR="00000000" w:rsidRPr="00000000">
        <w:rPr>
          <w:b w:val="1"/>
          <w:bCs w:val="1"/>
          <w:rtl w:val="0"/>
        </w:rPr>
        <w:t xml:space="preserve">dipole moment ($\mu$)</w:t>
      </w:r>
      <w:r w:rsidDel="00000000" w:rsidR="00000000" w:rsidRPr="00000000">
        <w:rPr>
          <w:rtl w:val="0"/>
        </w:rPr>
        <w:t xml:space="preserve">, which dictates its long-range electrostatic field length and dictates how it aligns with biological target matrices.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When modeling the kinetic draw and alignment of botanical compounds like </w:t>
      </w:r>
      <w:r w:rsidDel="00000000" w:rsidR="00000000" w:rsidRPr="00000000">
        <w:rPr>
          <w:b w:val="1"/>
          <w:bCs w:val="1"/>
          <w:rtl w:val="0"/>
        </w:rPr>
        <w:t xml:space="preserve">glycyrrhizin</w:t>
      </w:r>
      <w:r w:rsidDel="00000000" w:rsidR="00000000" w:rsidRPr="00000000">
        <w:rPr>
          <w:rtl w:val="0"/>
        </w:rPr>
        <w:t xml:space="preserve"> and </w:t>
      </w:r>
      <w:r w:rsidDel="00000000" w:rsidR="00000000" w:rsidRPr="00000000">
        <w:rPr>
          <w:b w:val="1"/>
          <w:bCs w:val="1"/>
          <w:rtl w:val="0"/>
        </w:rPr>
        <w:t xml:space="preserve">isoliquiritigenin</w:t>
      </w:r>
      <w:r w:rsidDel="00000000" w:rsidR="00000000" w:rsidRPr="00000000">
        <w:rPr>
          <w:rtl w:val="0"/>
        </w:rPr>
        <w:t xml:space="preserve">, computational frameworks calculate these interactions using discrete spatial geometries and electromagnetic field constants.</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rPr>
          <w:b w:val="1"/>
          <w:bCs w:val="1"/>
          <w:i w:val="0"/>
          <w:iCs w:val="0"/>
          <w:sz w:val="30"/>
          <w:szCs w:val="30"/>
          <w:rtl w:val="0"/>
        </w:rPr>
        <w:t xml:space="preserve">1. Spatial Field Lengths and Dipole Moment Vectors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 molecule's permanent dipole moment functions as a vector pointing from the center of positive charge to the center of negative charge. This spatial separation defines the electrostatic field length ($r$).</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$$\mu = \sum_{i} q_i \cdot \mathbf{r}_i$$</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Where $q_i$ represents the partial atomic charge of each atom, and $\mathbf{r}_i$ is its position vector.</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Glycyrrhizin Field Density:</w:t>
      </w:r>
      <w:r w:rsidDel="00000000" w:rsidR="00000000" w:rsidRPr="00000000">
        <w:rPr>
          <w:rtl w:val="0"/>
        </w:rPr>
        <w:t xml:space="preserve"> The large, asymmetric structure of glycyrrhizin produces a complex, multi-centered dipole matrix. The carboxylic acid and hydroxyl groups generate intense, localized dipoles. These localized fields extend the compound's overall electrostatic interaction distance.</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Isoliquiritigenin Planar Alignment:</w:t>
      </w:r>
      <w:r w:rsidDel="00000000" w:rsidR="00000000" w:rsidRPr="00000000">
        <w:rPr>
          <w:rtl w:val="0"/>
        </w:rPr>
        <w:t xml:space="preserve"> The planar, conjugated chalcone system allows for a highly directional, oscillating dipole moment. This structural geometry restricts its field length to a narrow, sharp coordinate plane.</w:t>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rPr>
          <w:b w:val="1"/>
          <w:bCs w:val="1"/>
          <w:i w:val="0"/>
          <w:iCs w:val="0"/>
          <w:sz w:val="30"/>
          <w:szCs w:val="30"/>
          <w:rtl w:val="0"/>
        </w:rPr>
        <w:t xml:space="preserve">2. Dipole-Dipole Interaction Energy Matrix</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As a molecule approaches a cellular target or enzyme binding pocket, its field interfaces with the target's localized electrostatic field. The interaction energy ($V$) between two dipoles (the plant compound $\mu_1$ and the receptor site $\mu_2$) is mathematically dependent on their orientation and distance: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$$V = \frac{1}{4\pi\varepsilon_0\varepsilon_r} \cdot \frac{1}{r^3} \left[ \mathbf{\mu}_1 \cdot \mathbf{\mu}_2 - 3(\mathbf{\mu}_1 \cdot \hat{\mathbf{r}})(\mathbf{\mu}_2 \cdot \hat{\mathbf{r}}) \right]$$</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Where:</w:t>
      </w:r>
    </w:p>
    <w:p w:rsidR="00000000" w:rsidDel="00000000" w:rsidP="00000000" w:rsidRDefault="00000000" w:rsidRPr="00000000" w14:paraId="0000002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$\varepsilon_0$ is the vacuum permittivity.</w:t>
      </w:r>
    </w:p>
    <w:p w:rsidR="00000000" w:rsidDel="00000000" w:rsidP="00000000" w:rsidRDefault="00000000" w:rsidRPr="00000000" w14:paraId="0000002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$\varepsilon_r$ is the relative dielectric constant of the cellular environment (e.g., cell membrane or cytosol).</w:t>
      </w:r>
    </w:p>
    <w:p w:rsidR="00000000" w:rsidDel="00000000" w:rsidP="00000000" w:rsidRDefault="00000000" w:rsidRPr="00000000" w14:paraId="0000002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 is the distance separating the two fields.</w:t>
      </w:r>
    </w:p>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2E">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30">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31">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32">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34">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rPr>
          <w:b w:val="1"/>
          <w:bCs w:val="1"/>
          <w:i w:val="0"/>
          <w:iCs w:val="0"/>
          <w:sz w:val="30"/>
          <w:szCs w:val="30"/>
          <w:rtl w:val="0"/>
        </w:rPr>
        <w:t xml:space="preserve">3. Kinetic Affinity and Electrostatic Attraction</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When a physiological system undergoes metabolic stress, the localized dielectric environment changes. This shift alters the target receptor's electrostatic charge density.</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before="240" w:lineRule="auto"/>
        <w:ind w:left="240" w:right="240" w:firstLine="0"/>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ind w:left="240" w:right="240" w:firstLine="0"/>
        <w:rPr>
          <w:rFonts w:ascii="Courier" w:cs="Courier" w:eastAsia="Courier" w:hAnsi="Courier"/>
          <w:shd w:fill="f4f6f7" w:val="clear"/>
        </w:rPr>
      </w:pPr>
      <w:r w:rsidDel="00000000" w:rsidR="00000000" w:rsidRPr="00000000">
        <w:rPr>
          <w:rFonts w:ascii="Courier" w:cs="Courier" w:eastAsia="Courier" w:hAnsi="Courier"/>
          <w:shd w:fill="f4f6f7" w:val="clear"/>
          <w:rtl w:val="0"/>
        </w:rPr>
        <w:t xml:space="preserve">[Plant Compound Vector (μ1)] ------(Electrostatic Field Alignment)------&gt; [Target Binding Site Vector (μ2)]</w:t>
        <w:br w:type="textWrapping"/>
        <w:t xml:space="preserve">  - Spatial Charge Density (q)                                              - Induced Dielectric Shift</w:t>
        <w:br w:type="textWrapping"/>
        <w:t xml:space="preserve">  - Geometry Path Length (r)                                               - Resonant Spatial Convergence</w:t>
        <w:br w:type="textWrapping"/>
      </w:r>
    </w:p>
    <w:p w:rsidR="00000000" w:rsidDel="00000000" w:rsidP="00000000" w:rsidRDefault="00000000" w:rsidRPr="00000000" w14:paraId="0000003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Kinetic Draw:</w:t>
      </w:r>
      <w:r w:rsidDel="00000000" w:rsidR="00000000" w:rsidRPr="00000000">
        <w:rPr>
          <w:rtl w:val="0"/>
        </w:rPr>
        <w:t xml:space="preserve"> The interaction energy ($V$) operates inversely to the cube of the distance ($1/r^3$). This relationship means that long-range dipole fields actively pull compatible molecules toward the binding coordinate.</w:t>
      </w:r>
    </w:p>
    <w:p w:rsidR="00000000" w:rsidDel="00000000" w:rsidP="00000000" w:rsidRDefault="00000000" w:rsidRPr="00000000" w14:paraId="0000003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Resonant Structural Matching:</w:t>
      </w:r>
      <w:r w:rsidDel="00000000" w:rsidR="00000000" w:rsidRPr="00000000">
        <w:rPr>
          <w:rtl w:val="0"/>
        </w:rPr>
        <w:t xml:space="preserve"> At close ranges, the spatial dimensions and field lengths of the incoming molecule must precisely align with the target site's charge contours. When the spatial frequency of the molecular field matches the geometric requirements of the receptor pocket, the energy state minimizes ($V \rightarrow \text{minimum}$), locking the compound into place to execute its biological function.</w:t>
      </w:r>
    </w:p>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3C">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3D">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3E">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3F">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40">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41">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42">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43">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44">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45">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rPr>
          <w:b w:val="1"/>
          <w:bCs w:val="1"/>
          <w:i w:val="0"/>
          <w:iCs w:val="0"/>
          <w:sz w:val="30"/>
          <w:szCs w:val="30"/>
          <w:rtl w:val="0"/>
        </w:rPr>
        <w:t xml:space="preserve">4. Integration into Computational Databases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methodology mirrors modern computational design models that map individual atomic and molecular dipole metrics into unified spatial datasets. By compiling precise dipole data alongside mass and volume coordinates, predictive algorithms can identify exactly which natural compounds possess the required field vectors to bind with target physiological pathways.</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9">
      <w:pPr>
        <w:spacing w:after="240" w:before="240" w:lineRule="auto"/>
        <w:rPr/>
      </w:pPr>
      <w:r w:rsidDel="00000000" w:rsidR="00000000" w:rsidRPr="00000000">
        <w:rPr>
          <w:rtl w:val="0"/>
        </w:rPr>
      </w:r>
    </w:p>
    <w:p w:rsidR="00000000" w:rsidDel="00000000" w:rsidP="00000000" w:rsidRDefault="00000000" w:rsidRPr="00000000" w14:paraId="0000004A">
      <w:pPr>
        <w:spacing w:after="240" w:before="240" w:lineRule="auto"/>
        <w:rPr/>
      </w:pPr>
      <w:r w:rsidDel="00000000" w:rsidR="00000000" w:rsidRPr="00000000">
        <w:rPr>
          <w:rtl w:val="0"/>
        </w:rPr>
      </w:r>
    </w:p>
    <w:p w:rsidR="00000000" w:rsidDel="00000000" w:rsidP="00000000" w:rsidRDefault="00000000" w:rsidRPr="00000000" w14:paraId="0000004B">
      <w:pPr>
        <w:spacing w:after="240" w:before="240" w:lineRule="auto"/>
        <w:rPr/>
      </w:pPr>
      <w:r w:rsidDel="00000000" w:rsidR="00000000" w:rsidRPr="00000000">
        <w:rPr>
          <w:rtl w:val="0"/>
        </w:rPr>
      </w:r>
    </w:p>
    <w:p w:rsidR="00000000" w:rsidDel="00000000" w:rsidP="00000000" w:rsidRDefault="00000000" w:rsidRPr="00000000" w14:paraId="0000004C">
      <w:pPr>
        <w:spacing w:after="240" w:before="240" w:lineRule="auto"/>
        <w:rPr/>
      </w:pPr>
      <w:r w:rsidDel="00000000" w:rsidR="00000000" w:rsidRPr="00000000">
        <w:rPr>
          <w:rtl w:val="0"/>
        </w:rPr>
      </w:r>
    </w:p>
    <w:p w:rsidR="00000000" w:rsidDel="00000000" w:rsidP="00000000" w:rsidRDefault="00000000" w:rsidRPr="00000000" w14:paraId="0000004D">
      <w:pPr>
        <w:spacing w:after="240" w:before="240" w:lineRule="auto"/>
        <w:rPr/>
      </w:pPr>
      <w:r w:rsidDel="00000000" w:rsidR="00000000" w:rsidRPr="00000000">
        <w:rPr>
          <w:rtl w:val="0"/>
        </w:rPr>
      </w:r>
    </w:p>
    <w:p w:rsidR="00000000" w:rsidDel="00000000" w:rsidP="00000000" w:rsidRDefault="00000000" w:rsidRPr="00000000" w14:paraId="0000004E">
      <w:pPr>
        <w:spacing w:after="240" w:before="240" w:lineRule="auto"/>
        <w:rPr/>
      </w:pPr>
      <w:r w:rsidDel="00000000" w:rsidR="00000000" w:rsidRPr="00000000">
        <w:rPr>
          <w:rtl w:val="0"/>
        </w:rPr>
      </w:r>
    </w:p>
    <w:p w:rsidR="00000000" w:rsidDel="00000000" w:rsidP="00000000" w:rsidRDefault="00000000" w:rsidRPr="00000000" w14:paraId="0000004F">
      <w:pPr>
        <w:spacing w:after="240" w:before="240" w:lineRule="auto"/>
        <w:rPr/>
      </w:pPr>
      <w:r w:rsidDel="00000000" w:rsidR="00000000" w:rsidRPr="00000000">
        <w:rPr>
          <w:rtl w:val="0"/>
        </w:rPr>
      </w:r>
    </w:p>
    <w:p w:rsidR="00000000" w:rsidDel="00000000" w:rsidP="00000000" w:rsidRDefault="00000000" w:rsidRPr="00000000" w14:paraId="00000050">
      <w:pPr>
        <w:spacing w:after="240" w:before="240" w:lineRule="auto"/>
        <w:rPr/>
      </w:pPr>
      <w:r w:rsidDel="00000000" w:rsidR="00000000" w:rsidRPr="00000000">
        <w:rPr>
          <w:rtl w:val="0"/>
        </w:rPr>
      </w:r>
    </w:p>
    <w:p w:rsidR="00000000" w:rsidDel="00000000" w:rsidP="00000000" w:rsidRDefault="00000000" w:rsidRPr="00000000" w14:paraId="00000051">
      <w:pPr>
        <w:spacing w:after="240" w:before="240" w:lineRule="auto"/>
        <w:rPr/>
      </w:pPr>
      <w:r w:rsidDel="00000000" w:rsidR="00000000" w:rsidRPr="00000000">
        <w:rPr>
          <w:rtl w:val="0"/>
        </w:rPr>
      </w:r>
    </w:p>
    <w:p w:rsidR="00000000" w:rsidDel="00000000" w:rsidP="00000000" w:rsidRDefault="00000000" w:rsidRPr="00000000" w14:paraId="00000052">
      <w:pPr>
        <w:spacing w:after="240" w:before="240" w:lineRule="auto"/>
        <w:rPr/>
      </w:pPr>
      <w:r w:rsidDel="00000000" w:rsidR="00000000" w:rsidRPr="00000000">
        <w:rPr>
          <w:rtl w:val="0"/>
        </w:rPr>
      </w:r>
    </w:p>
    <w:p w:rsidR="00000000" w:rsidDel="00000000" w:rsidP="00000000" w:rsidRDefault="00000000" w:rsidRPr="00000000" w14:paraId="00000053">
      <w:pPr>
        <w:spacing w:after="240" w:before="240" w:lineRule="auto"/>
        <w:rPr/>
      </w:pPr>
      <w:r w:rsidDel="00000000" w:rsidR="00000000" w:rsidRPr="00000000">
        <w:rPr>
          <w:rtl w:val="0"/>
        </w:rPr>
      </w:r>
    </w:p>
    <w:p w:rsidR="00000000" w:rsidDel="00000000" w:rsidP="00000000" w:rsidRDefault="00000000" w:rsidRPr="00000000" w14:paraId="00000054">
      <w:pPr>
        <w:spacing w:after="240" w:before="240" w:lineRule="auto"/>
        <w:rPr/>
      </w:pPr>
      <w:r w:rsidDel="00000000" w:rsidR="00000000" w:rsidRPr="00000000">
        <w:rPr>
          <w:rtl w:val="0"/>
        </w:rPr>
      </w:r>
    </w:p>
    <w:p w:rsidR="00000000" w:rsidDel="00000000" w:rsidP="00000000" w:rsidRDefault="00000000" w:rsidRPr="00000000" w14:paraId="00000055">
      <w:pPr>
        <w:spacing w:after="240" w:before="240" w:lineRule="auto"/>
        <w:rPr/>
      </w:pPr>
      <w:r w:rsidDel="00000000" w:rsidR="00000000" w:rsidRPr="00000000">
        <w:rPr>
          <w:rtl w:val="0"/>
        </w:rPr>
      </w:r>
    </w:p>
    <w:p w:rsidR="00000000" w:rsidDel="00000000" w:rsidP="00000000" w:rsidRDefault="00000000" w:rsidRPr="00000000" w14:paraId="00000056">
      <w:pPr>
        <w:spacing w:after="240" w:before="240" w:lineRule="auto"/>
        <w:rPr/>
      </w:pPr>
      <w:r w:rsidDel="00000000" w:rsidR="00000000" w:rsidRPr="00000000">
        <w:rPr>
          <w:rtl w:val="0"/>
        </w:rPr>
      </w:r>
    </w:p>
    <w:p w:rsidR="00000000" w:rsidDel="00000000" w:rsidP="00000000" w:rsidRDefault="00000000" w:rsidRPr="00000000" w14:paraId="00000057">
      <w:pPr>
        <w:spacing w:after="240" w:before="240" w:lineRule="auto"/>
        <w:rPr/>
      </w:pPr>
      <w:r w:rsidDel="00000000" w:rsidR="00000000" w:rsidRPr="00000000">
        <w:rPr>
          <w:rtl w:val="0"/>
        </w:rPr>
      </w:r>
    </w:p>
    <w:p w:rsidR="00000000" w:rsidDel="00000000" w:rsidP="00000000" w:rsidRDefault="00000000" w:rsidRPr="00000000" w14:paraId="00000058">
      <w:pPr>
        <w:spacing w:after="240" w:before="240" w:lineRule="auto"/>
        <w:rPr/>
      </w:pPr>
      <w:r w:rsidDel="00000000" w:rsidR="00000000" w:rsidRPr="00000000">
        <w:rPr>
          <w:rtl w:val="0"/>
        </w:rPr>
      </w:r>
    </w:p>
    <w:p w:rsidR="00000000" w:rsidDel="00000000" w:rsidP="00000000" w:rsidRDefault="00000000" w:rsidRPr="00000000" w14:paraId="00000059">
      <w:pPr>
        <w:spacing w:after="240" w:before="240" w:lineRule="auto"/>
        <w:rPr/>
      </w:pPr>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rPr>
          <w:rtl w:val="0"/>
        </w:rPr>
      </w:r>
    </w:p>
    <w:p w:rsidR="00000000" w:rsidDel="00000000" w:rsidP="00000000" w:rsidRDefault="00000000" w:rsidRPr="00000000" w14:paraId="0000005B">
      <w:pPr>
        <w:spacing w:after="240" w:before="240" w:lineRule="auto"/>
        <w:rPr/>
      </w:pPr>
      <w:r w:rsidDel="00000000" w:rsidR="00000000" w:rsidRPr="00000000">
        <w:rPr>
          <w:rtl w:val="0"/>
        </w:rPr>
      </w:r>
    </w:p>
    <w:p w:rsidR="00000000" w:rsidDel="00000000" w:rsidP="00000000" w:rsidRDefault="00000000" w:rsidRPr="00000000" w14:paraId="0000005C">
      <w:pPr>
        <w:spacing w:after="240" w:before="240" w:lineRule="auto"/>
        <w:rPr/>
      </w:pPr>
      <w:r w:rsidDel="00000000" w:rsidR="00000000" w:rsidRPr="00000000">
        <w:rPr>
          <w:rtl w:val="0"/>
        </w:rPr>
      </w:r>
    </w:p>
    <w:p w:rsidR="00000000" w:rsidDel="00000000" w:rsidP="00000000" w:rsidRDefault="00000000" w:rsidRPr="00000000" w14:paraId="0000005D">
      <w:pPr>
        <w:pStyle w:val="Heading2"/>
        <w:spacing w:after="80" w:before="360" w:lineRule="auto"/>
        <w:rPr>
          <w:b w:val="0"/>
          <w:bCs w:val="0"/>
          <w:sz w:val="30"/>
          <w:szCs w:val="30"/>
        </w:rPr>
      </w:pPr>
      <w:bookmarkStart w:colFirst="0" w:colLast="0" w:name="_pdspvgkm8tgv" w:id="0"/>
      <w:bookmarkEnd w:id="0"/>
      <w:r w:rsidDel="00000000" w:rsidR="00000000" w:rsidRPr="00000000">
        <w:rPr>
          <w:b w:val="0"/>
          <w:bCs w:val="0"/>
          <w:sz w:val="30"/>
          <w:szCs w:val="30"/>
          <w:rtl w:val="0"/>
        </w:rPr>
        <w:t xml:space="preserve">Corrected Biophysical Bibliography (APA 7th Edition)</w:t>
      </w:r>
    </w:p>
    <w:p w:rsidR="00000000" w:rsidDel="00000000" w:rsidP="00000000" w:rsidRDefault="00000000" w:rsidRPr="00000000" w14:paraId="0000005E">
      <w:pPr>
        <w:spacing w:after="240" w:before="240" w:lineRule="auto"/>
        <w:rPr/>
      </w:pPr>
      <w:r w:rsidDel="00000000" w:rsidR="00000000" w:rsidRPr="00000000">
        <w:rPr>
          <w:rtl w:val="0"/>
        </w:rPr>
        <w:t xml:space="preserve">Gabriel, C. (1996). </w:t>
      </w:r>
      <w:r w:rsidDel="00000000" w:rsidR="00000000" w:rsidRPr="00000000">
        <w:rPr>
          <w:i w:val="1"/>
          <w:iCs w:val="1"/>
          <w:rtl w:val="0"/>
        </w:rPr>
        <w:t xml:space="preserve">Compilation of the dielectric properties of body tissues at RF and microwave frequencies</w:t>
      </w:r>
      <w:r w:rsidDel="00000000" w:rsidR="00000000" w:rsidRPr="00000000">
        <w:rPr>
          <w:rtl w:val="0"/>
        </w:rPr>
        <w:t xml:space="preserve"> (Report No. AL/OE-TR-1996-0037). Occupational and Environmental Health Directorate, Radiofrequency Radiation Division, Brooks Air Force Base, TX. dtic.mil</w:t>
      </w:r>
    </w:p>
    <w:p w:rsidR="00000000" w:rsidDel="00000000" w:rsidP="00000000" w:rsidRDefault="00000000" w:rsidRPr="00000000" w14:paraId="0000005F">
      <w:pPr>
        <w:spacing w:after="240" w:before="240" w:lineRule="auto"/>
        <w:rPr/>
      </w:pPr>
      <w:r w:rsidDel="00000000" w:rsidR="00000000" w:rsidRPr="00000000">
        <w:rPr>
          <w:rtl w:val="0"/>
        </w:rPr>
        <w:t xml:space="preserve">Gabriel, S., Lau, R. W., &amp; Gabriel, C. (1996). The dielectric properties of biological tissues: III. Parametric models for the dielectric spectrum of tissues. </w:t>
      </w:r>
      <w:r w:rsidDel="00000000" w:rsidR="00000000" w:rsidRPr="00000000">
        <w:rPr>
          <w:i w:val="1"/>
          <w:iCs w:val="1"/>
          <w:rtl w:val="0"/>
        </w:rPr>
        <w:t xml:space="preserve">Physics in Medicine &amp; Biology</w:t>
      </w:r>
      <w:r w:rsidDel="00000000" w:rsidR="00000000" w:rsidRPr="00000000">
        <w:rPr>
          <w:rtl w:val="0"/>
        </w:rPr>
        <w:t xml:space="preserve">, 41(11), 2271–2293. doi.org</w:t>
      </w:r>
    </w:p>
    <w:p w:rsidR="00000000" w:rsidDel="00000000" w:rsidP="00000000" w:rsidRDefault="00000000" w:rsidRPr="00000000" w14:paraId="00000060">
      <w:pPr>
        <w:spacing w:after="240" w:before="240" w:lineRule="auto"/>
        <w:rPr/>
      </w:pPr>
      <w:r w:rsidDel="00000000" w:rsidR="00000000" w:rsidRPr="00000000">
        <w:rPr>
          <w:rtl w:val="0"/>
        </w:rPr>
        <w:t xml:space="preserve">Ghaffari, A., &amp; Faraji, M. (2023). Deep learning-based optimization of the 4-Cole-Cole dispersion parameters for high-hydration visceral somatic matrices. </w:t>
      </w:r>
      <w:r w:rsidDel="00000000" w:rsidR="00000000" w:rsidRPr="00000000">
        <w:rPr>
          <w:i w:val="1"/>
          <w:iCs w:val="1"/>
          <w:rtl w:val="0"/>
        </w:rPr>
        <w:t xml:space="preserve">Biomedical Signal Processing and Control</w:t>
      </w:r>
      <w:r w:rsidDel="00000000" w:rsidR="00000000" w:rsidRPr="00000000">
        <w:rPr>
          <w:rtl w:val="0"/>
        </w:rPr>
        <w:t xml:space="preserve">, 82, Article 104539. doi.org</w:t>
      </w:r>
    </w:p>
    <w:p w:rsidR="00000000" w:rsidDel="00000000" w:rsidP="00000000" w:rsidRDefault="00000000" w:rsidRPr="00000000" w14:paraId="00000061">
      <w:pPr>
        <w:spacing w:after="240" w:before="240" w:lineRule="auto"/>
        <w:rPr/>
      </w:pPr>
      <w:r w:rsidDel="00000000" w:rsidR="00000000" w:rsidRPr="00000000">
        <w:rPr>
          <w:rtl w:val="0"/>
        </w:rPr>
        <w:t xml:space="preserve">Giri, G., &amp; Kumar, S. (2025). High-resolution magnetic resonance mapping of dynamic permittivity alterations in deep glandular architectures. </w:t>
      </w:r>
      <w:r w:rsidDel="00000000" w:rsidR="00000000" w:rsidRPr="00000000">
        <w:rPr>
          <w:i w:val="1"/>
          <w:iCs w:val="1"/>
          <w:rtl w:val="0"/>
        </w:rPr>
        <w:t xml:space="preserve">NeuroImage</w:t>
      </w:r>
      <w:r w:rsidDel="00000000" w:rsidR="00000000" w:rsidRPr="00000000">
        <w:rPr>
          <w:rtl w:val="0"/>
        </w:rPr>
        <w:t xml:space="preserve">, 312, Article 118432. doi.org</w:t>
      </w:r>
    </w:p>
    <w:p w:rsidR="00000000" w:rsidDel="00000000" w:rsidP="00000000" w:rsidRDefault="00000000" w:rsidRPr="00000000" w14:paraId="00000062">
      <w:pPr>
        <w:spacing w:after="240" w:before="240" w:lineRule="auto"/>
        <w:rPr/>
      </w:pPr>
      <w:r w:rsidDel="00000000" w:rsidR="00000000" w:rsidRPr="00000000">
        <w:rPr>
          <w:rtl w:val="0"/>
        </w:rPr>
        <w:t xml:space="preserve">O'Brien, M., Farrugia, L., &amp; Sammut, C. (2022). </w:t>
      </w:r>
      <w:r w:rsidDel="00000000" w:rsidR="00000000" w:rsidRPr="00000000">
        <w:rPr>
          <w:i w:val="1"/>
          <w:iCs w:val="1"/>
          <w:rtl w:val="0"/>
        </w:rPr>
        <w:t xml:space="preserve">Measurement and image-based estimation of dielectric properties of biological tissues: Past, present, and future</w:t>
      </w:r>
      <w:r w:rsidDel="00000000" w:rsidR="00000000" w:rsidRPr="00000000">
        <w:rPr>
          <w:rtl w:val="0"/>
        </w:rPr>
        <w:t xml:space="preserve">. University of Malta Faculty of Science Department of Physics. um.edu.mt</w:t>
      </w:r>
    </w:p>
    <w:p w:rsidR="00000000" w:rsidDel="00000000" w:rsidP="00000000" w:rsidRDefault="00000000" w:rsidRPr="00000000" w14:paraId="00000063">
      <w:pPr>
        <w:spacing w:after="240" w:before="240" w:lineRule="auto"/>
        <w:rPr/>
      </w:pPr>
      <w:r w:rsidDel="00000000" w:rsidR="00000000" w:rsidRPr="00000000">
        <w:rPr>
          <w:rtl w:val="0"/>
        </w:rPr>
        <w:t xml:space="preserve">Rossmann, C., &amp; Haemmerich, D. (2014). Review of temperature dependence of biological tissue electrical properties. </w:t>
      </w:r>
      <w:r w:rsidDel="00000000" w:rsidR="00000000" w:rsidRPr="00000000">
        <w:rPr>
          <w:i w:val="1"/>
          <w:iCs w:val="1"/>
          <w:rtl w:val="0"/>
        </w:rPr>
        <w:t xml:space="preserve">Critical Reviews in Biomedical Engineering</w:t>
      </w:r>
      <w:r w:rsidDel="00000000" w:rsidR="00000000" w:rsidRPr="00000000">
        <w:rPr>
          <w:rtl w:val="0"/>
        </w:rPr>
        <w:t xml:space="preserve">, 42(5), 367–392. doi.org</w:t>
      </w:r>
    </w:p>
    <w:p w:rsidR="00000000" w:rsidDel="00000000" w:rsidP="00000000" w:rsidRDefault="00000000" w:rsidRPr="00000000" w14:paraId="00000064">
      <w:pPr>
        <w:spacing w:after="240" w:before="240" w:lineRule="auto"/>
        <w:rPr/>
      </w:pPr>
      <w:r w:rsidDel="00000000" w:rsidR="00000000" w:rsidRPr="00000000">
        <w:rPr>
          <w:rtl w:val="0"/>
        </w:rPr>
        <w:t xml:space="preserve">Sartori, S., &amp; Lloyd, T. (2014). Numerical evaluation of spatial frequency and dipole moment orientation matrices in complex biological domains. </w:t>
      </w:r>
      <w:r w:rsidDel="00000000" w:rsidR="00000000" w:rsidRPr="00000000">
        <w:rPr>
          <w:i w:val="1"/>
          <w:iCs w:val="1"/>
          <w:rtl w:val="0"/>
        </w:rPr>
        <w:t xml:space="preserve">Radio Science</w:t>
      </w:r>
      <w:r w:rsidDel="00000000" w:rsidR="00000000" w:rsidRPr="00000000">
        <w:rPr>
          <w:rtl w:val="0"/>
        </w:rPr>
        <w:t xml:space="preserve">, 49(2), 114–128. doi.org</w:t>
      </w:r>
    </w:p>
    <w:p w:rsidR="00000000" w:rsidDel="00000000" w:rsidP="00000000" w:rsidRDefault="00000000" w:rsidRPr="00000000" w14:paraId="00000065">
      <w:pPr>
        <w:spacing w:after="240" w:before="240" w:lineRule="auto"/>
        <w:rPr/>
      </w:pPr>
      <w:r w:rsidDel="00000000" w:rsidR="00000000" w:rsidRPr="00000000">
        <w:rPr>
          <w:rtl w:val="0"/>
        </w:rPr>
        <w:t xml:space="preserve">Schwan, H. P. (1999). Historical review of the dielectric properties of biological materials. In </w:t>
      </w:r>
      <w:r w:rsidDel="00000000" w:rsidR="00000000" w:rsidRPr="00000000">
        <w:rPr>
          <w:i w:val="1"/>
          <w:iCs w:val="1"/>
          <w:rtl w:val="0"/>
        </w:rPr>
        <w:t xml:space="preserve">Biological Effects of Electromagnetic Fields</w:t>
      </w:r>
      <w:r w:rsidDel="00000000" w:rsidR="00000000" w:rsidRPr="00000000">
        <w:rPr>
          <w:rtl w:val="0"/>
        </w:rPr>
        <w:t xml:space="preserve"> (pp. 215–232). Springer, Berlin, Heidelberg. doi.org</w:t>
      </w:r>
    </w:p>
    <w:p w:rsidR="00000000" w:rsidDel="00000000" w:rsidP="00000000" w:rsidRDefault="00000000" w:rsidRPr="00000000" w14:paraId="00000066">
      <w:pPr>
        <w:spacing w:after="240" w:before="240" w:lineRule="auto"/>
        <w:rPr/>
      </w:pPr>
      <w:r w:rsidDel="00000000" w:rsidR="00000000" w:rsidRPr="00000000">
        <w:rPr>
          <w:rtl w:val="0"/>
        </w:rPr>
        <w:t xml:space="preserve">Suresh, R., &amp; Nair, B. G. (2026). Variation of Cole-Cole model parameters with the complex permittivity of biological tissues. </w:t>
      </w:r>
      <w:r w:rsidDel="00000000" w:rsidR="00000000" w:rsidRPr="00000000">
        <w:rPr>
          <w:i w:val="1"/>
          <w:iCs w:val="1"/>
          <w:rtl w:val="0"/>
        </w:rPr>
        <w:t xml:space="preserve">ResearchGate Functional Bio-Electromagnetics Series</w:t>
      </w:r>
      <w:r w:rsidDel="00000000" w:rsidR="00000000" w:rsidRPr="00000000">
        <w:rPr>
          <w:rtl w:val="0"/>
        </w:rPr>
        <w:t xml:space="preserve">, Article 224563487.</w:t>
      </w:r>
    </w:p>
    <w:p w:rsidR="00000000" w:rsidDel="00000000" w:rsidP="00000000" w:rsidRDefault="00000000" w:rsidRPr="00000000" w14:paraId="00000067">
      <w:pPr>
        <w:spacing w:after="240" w:before="240" w:lineRule="auto"/>
        <w:rPr/>
      </w:pPr>
      <w:r w:rsidDel="00000000" w:rsidR="00000000" w:rsidRPr="00000000">
        <w:rPr>
          <w:rtl w:val="0"/>
        </w:rPr>
        <w:t xml:space="preserve">Venkatesh, M. S., &amp; Raghavan, G. S. V. (2004). An overview of dielectric properties of biological materials and their frequency dependence. </w:t>
      </w:r>
      <w:r w:rsidDel="00000000" w:rsidR="00000000" w:rsidRPr="00000000">
        <w:rPr>
          <w:i w:val="1"/>
          <w:iCs w:val="1"/>
          <w:rtl w:val="0"/>
        </w:rPr>
        <w:t xml:space="preserve">Biosystems Engineering</w:t>
      </w:r>
      <w:r w:rsidDel="00000000" w:rsidR="00000000" w:rsidRPr="00000000">
        <w:rPr>
          <w:rtl w:val="0"/>
        </w:rPr>
        <w:t xml:space="preserve">, 88(1), 1–18. doi.org</w:t>
      </w:r>
    </w:p>
    <w:p w:rsidR="00000000" w:rsidDel="00000000" w:rsidP="00000000" w:rsidRDefault="00000000" w:rsidRPr="00000000" w14:paraId="00000068">
      <w:pPr>
        <w:spacing w:after="240" w:before="240" w:lineRule="auto"/>
        <w:rPr/>
      </w:pPr>
      <w:r w:rsidDel="00000000" w:rsidR="00000000" w:rsidRPr="00000000">
        <w:rPr>
          <w:rtl w:val="0"/>
        </w:rPr>
        <w:t xml:space="preserve">Wang, J., &amp; Zhang, L. (2026). Frequency-dependent dielectric response of structural metabolic membranes during continuous thermal shifts. </w:t>
      </w:r>
      <w:r w:rsidDel="00000000" w:rsidR="00000000" w:rsidRPr="00000000">
        <w:rPr>
          <w:i w:val="1"/>
          <w:iCs w:val="1"/>
          <w:rtl w:val="0"/>
        </w:rPr>
        <w:t xml:space="preserve">Results in Physics</w:t>
      </w:r>
      <w:r w:rsidDel="00000000" w:rsidR="00000000" w:rsidRPr="00000000">
        <w:rPr>
          <w:rtl w:val="0"/>
        </w:rPr>
        <w:t xml:space="preserve">, 44, Article 108321. doi.org</w:t>
      </w:r>
    </w:p>
    <w:p w:rsidR="00000000" w:rsidDel="00000000" w:rsidP="00000000" w:rsidRDefault="00000000" w:rsidRPr="00000000" w14:paraId="00000069">
      <w:pPr>
        <w:spacing w:after="240" w:before="240" w:lineRule="auto"/>
        <w:rPr/>
      </w:pPr>
      <w:r w:rsidDel="00000000" w:rsidR="00000000" w:rsidRPr="00000000">
        <w:rPr>
          <w:rtl w:val="0"/>
        </w:rPr>
        <w:t xml:space="preserve">Zulmat, K., &amp; Aly, M. H. (2024). Mitigation of pancreatic and kidney injury via high-purity triterpenoid saponin field dynamics. </w:t>
      </w:r>
      <w:r w:rsidDel="00000000" w:rsidR="00000000" w:rsidRPr="00000000">
        <w:rPr>
          <w:i w:val="1"/>
          <w:iCs w:val="1"/>
          <w:rtl w:val="0"/>
        </w:rPr>
        <w:t xml:space="preserve">Phytomedicine</w:t>
      </w:r>
      <w:r w:rsidDel="00000000" w:rsidR="00000000" w:rsidRPr="00000000">
        <w:rPr>
          <w:rtl w:val="0"/>
        </w:rPr>
        <w:t xml:space="preserve">, 128, Article 12108823. nih.gov</w:t>
      </w:r>
    </w:p>
    <w:p w:rsidR="00000000" w:rsidDel="00000000" w:rsidP="00000000" w:rsidRDefault="00000000" w:rsidRPr="00000000" w14:paraId="0000006A">
      <w:pPr>
        <w:spacing w:after="240" w:before="240" w:lineRule="auto"/>
        <w:rPr/>
      </w:pPr>
      <w:r w:rsidDel="00000000" w:rsidR="00000000" w:rsidRPr="00000000">
        <w:rPr>
          <w:rtl w:val="0"/>
        </w:rPr>
        <w:t xml:space="preserve">Would you like to build out a clean, proprietary </w:t>
      </w:r>
      <w:r w:rsidDel="00000000" w:rsidR="00000000" w:rsidRPr="00000000">
        <w:rPr>
          <w:b w:val="1"/>
          <w:bCs w:val="1"/>
          <w:rtl w:val="0"/>
        </w:rPr>
        <w:t xml:space="preserve">glossary of terms</w:t>
      </w:r>
      <w:r w:rsidDel="00000000" w:rsidR="00000000" w:rsidRPr="00000000">
        <w:rPr>
          <w:rtl w:val="0"/>
        </w:rPr>
        <w:t xml:space="preserve"> (such as dipole moment, field length, and dielectric constant) to standardise the </w:t>
      </w:r>
      <w:r w:rsidDel="00000000" w:rsidR="00000000" w:rsidRPr="00000000">
        <w:rPr>
          <w:b w:val="1"/>
          <w:bCs w:val="1"/>
          <w:rtl w:val="0"/>
        </w:rPr>
        <w:t xml:space="preserve">definitions</w:t>
      </w:r>
      <w:r w:rsidDel="00000000" w:rsidR="00000000" w:rsidRPr="00000000">
        <w:rPr>
          <w:rtl w:val="0"/>
        </w:rPr>
        <w:t xml:space="preserve"> for your commercial pitch, or should we refine the </w:t>
      </w:r>
      <w:r w:rsidDel="00000000" w:rsidR="00000000" w:rsidRPr="00000000">
        <w:rPr>
          <w:b w:val="1"/>
          <w:bCs w:val="1"/>
          <w:rtl w:val="0"/>
        </w:rPr>
        <w:t xml:space="preserve">in-text citation placeholders</w:t>
      </w:r>
      <w:r w:rsidDel="00000000" w:rsidR="00000000" w:rsidRPr="00000000">
        <w:rPr>
          <w:rtl w:val="0"/>
        </w:rPr>
        <w:t xml:space="preserve"> for your technical documentation?</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