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EDCD" w14:textId="77777777" w:rsidR="008413A2" w:rsidRDefault="00000000">
      <w:pPr>
        <w:pStyle w:val="Heading2"/>
        <w:spacing w:after="240"/>
        <w:rPr>
          <w:sz w:val="30"/>
          <w:szCs w:val="30"/>
        </w:rPr>
      </w:pPr>
      <w:r>
        <w:rPr>
          <w:sz w:val="30"/>
          <w:szCs w:val="30"/>
        </w:rPr>
        <w:t xml:space="preserve">Clinical Protocol Rationale: Contraindication of PO ND Therapy in Acute </w:t>
      </w:r>
      <w:r>
        <w:rPr>
          <w:i/>
          <w:iCs/>
          <w:sz w:val="30"/>
          <w:szCs w:val="30"/>
        </w:rPr>
        <w:t>Pycnogonida</w:t>
      </w:r>
      <w:r>
        <w:rPr>
          <w:sz w:val="30"/>
          <w:szCs w:val="30"/>
        </w:rPr>
        <w:t>-Induced Trauma</w:t>
      </w:r>
    </w:p>
    <w:p w14:paraId="2895AF6F" w14:textId="77777777" w:rsidR="008413A2" w:rsidRDefault="00000000">
      <w:pPr>
        <w:pBdr>
          <w:top w:val="nil"/>
          <w:left w:val="nil"/>
          <w:bottom w:val="nil"/>
          <w:right w:val="nil"/>
          <w:between w:val="nil"/>
        </w:pBdr>
        <w:spacing w:after="240"/>
      </w:pPr>
      <w:r>
        <w:t xml:space="preserve">In acute soft-tissue trauma scenarios involving structural penetration by a large </w:t>
      </w:r>
      <w:r>
        <w:rPr>
          <w:i/>
          <w:iCs/>
        </w:rPr>
        <w:t>Pycnogonida</w:t>
      </w:r>
      <w:r>
        <w:t xml:space="preserve"> model matrix, relying on standard oral non-dispensing (</w:t>
      </w:r>
      <w:r>
        <w:rPr>
          <w:b/>
          <w:bCs/>
        </w:rPr>
        <w:t>PO ND</w:t>
      </w:r>
      <w:r>
        <w:t xml:space="preserve">) botanical regimens as a primary intervention is </w:t>
      </w:r>
      <w:r>
        <w:rPr>
          <w:b/>
          <w:bCs/>
        </w:rPr>
        <w:t>strongly discouraged</w:t>
      </w:r>
      <w:r>
        <w:t xml:space="preserve"> by the Yesler Towers Command Center clinical guidelines. Except in absolute crisis environments where regional regenerative medicine transport networks are entirely inaccessible, standard PO ND routes must be bypassed in favor of immediate transfer to a specialized trauma unit (such as </w:t>
      </w:r>
      <w:r>
        <w:rPr>
          <w:b/>
          <w:bCs/>
        </w:rPr>
        <w:t>UW Harborview Medical Center</w:t>
      </w:r>
      <w:r>
        <w:t>).</w:t>
      </w:r>
    </w:p>
    <w:p w14:paraId="117806A0" w14:textId="77777777" w:rsidR="008413A2" w:rsidRDefault="00000000">
      <w:pPr>
        <w:pBdr>
          <w:top w:val="nil"/>
          <w:left w:val="nil"/>
          <w:bottom w:val="nil"/>
          <w:right w:val="nil"/>
          <w:between w:val="nil"/>
        </w:pBdr>
        <w:spacing w:after="240"/>
      </w:pPr>
      <w:r>
        <w:t>The clinical, toxicological, and epidemiological reasons for this contraindication are detailed below.</w:t>
      </w:r>
    </w:p>
    <w:p w14:paraId="0D9A8A67" w14:textId="77777777" w:rsidR="0082267A" w:rsidRDefault="0082267A">
      <w:pPr>
        <w:pStyle w:val="Heading2"/>
      </w:pPr>
    </w:p>
    <w:p w14:paraId="612CAE83" w14:textId="77777777" w:rsidR="0082267A" w:rsidRDefault="0082267A">
      <w:pPr>
        <w:pStyle w:val="Heading2"/>
      </w:pPr>
    </w:p>
    <w:p w14:paraId="6573FB13" w14:textId="77777777" w:rsidR="0082267A" w:rsidRDefault="0082267A">
      <w:pPr>
        <w:pStyle w:val="Heading2"/>
      </w:pPr>
    </w:p>
    <w:p w14:paraId="56201439" w14:textId="77777777" w:rsidR="0082267A" w:rsidRDefault="0082267A">
      <w:pPr>
        <w:pStyle w:val="Heading2"/>
      </w:pPr>
    </w:p>
    <w:p w14:paraId="5A0BC503" w14:textId="77777777" w:rsidR="0082267A" w:rsidRDefault="0082267A">
      <w:pPr>
        <w:pStyle w:val="Heading2"/>
      </w:pPr>
    </w:p>
    <w:p w14:paraId="478B7EAB" w14:textId="77777777" w:rsidR="0082267A" w:rsidRDefault="0082267A">
      <w:pPr>
        <w:pStyle w:val="Heading2"/>
      </w:pPr>
    </w:p>
    <w:p w14:paraId="567A2B63" w14:textId="77777777" w:rsidR="0082267A" w:rsidRDefault="0082267A">
      <w:pPr>
        <w:pStyle w:val="Heading2"/>
      </w:pPr>
    </w:p>
    <w:p w14:paraId="3D1E43AA" w14:textId="77777777" w:rsidR="0082267A" w:rsidRDefault="0082267A">
      <w:pPr>
        <w:pStyle w:val="Heading2"/>
      </w:pPr>
    </w:p>
    <w:p w14:paraId="77739A15" w14:textId="77777777" w:rsidR="0082267A" w:rsidRDefault="0082267A">
      <w:pPr>
        <w:pStyle w:val="Heading2"/>
      </w:pPr>
    </w:p>
    <w:p w14:paraId="5BC4F1BB" w14:textId="77777777" w:rsidR="0082267A" w:rsidRDefault="0082267A">
      <w:pPr>
        <w:pStyle w:val="Heading2"/>
      </w:pPr>
    </w:p>
    <w:p w14:paraId="4F327C81" w14:textId="77777777" w:rsidR="0082267A" w:rsidRDefault="0082267A">
      <w:pPr>
        <w:pStyle w:val="Heading2"/>
      </w:pPr>
    </w:p>
    <w:p w14:paraId="33D08917" w14:textId="77777777" w:rsidR="0082267A" w:rsidRDefault="0082267A">
      <w:pPr>
        <w:pStyle w:val="Heading2"/>
      </w:pPr>
    </w:p>
    <w:p w14:paraId="3608DE42" w14:textId="77777777" w:rsidR="0082267A" w:rsidRDefault="0082267A">
      <w:pPr>
        <w:pStyle w:val="Heading2"/>
      </w:pPr>
    </w:p>
    <w:p w14:paraId="6E532F58" w14:textId="77777777" w:rsidR="0082267A" w:rsidRDefault="0082267A">
      <w:pPr>
        <w:pStyle w:val="Heading2"/>
      </w:pPr>
    </w:p>
    <w:p w14:paraId="7CA574A3" w14:textId="77777777" w:rsidR="0082267A" w:rsidRDefault="0082267A">
      <w:pPr>
        <w:pStyle w:val="Heading2"/>
        <w:rPr>
          <w:sz w:val="30"/>
          <w:szCs w:val="30"/>
        </w:rPr>
      </w:pPr>
    </w:p>
    <w:p w14:paraId="44A2DEAC" w14:textId="7429A4D5" w:rsidR="008413A2" w:rsidRDefault="00000000">
      <w:pPr>
        <w:pStyle w:val="Heading2"/>
        <w:rPr>
          <w:sz w:val="30"/>
          <w:szCs w:val="30"/>
        </w:rPr>
      </w:pPr>
      <w:r>
        <w:rPr>
          <w:sz w:val="30"/>
          <w:szCs w:val="30"/>
        </w:rPr>
        <w:lastRenderedPageBreak/>
        <w:t>1. Lipid-Shell Saturation Toxicity</w:t>
      </w:r>
    </w:p>
    <w:p w14:paraId="37454F51" w14:textId="77777777" w:rsidR="008413A2" w:rsidRDefault="00000000">
      <w:pPr>
        <w:numPr>
          <w:ilvl w:val="0"/>
          <w:numId w:val="1"/>
        </w:numPr>
        <w:pBdr>
          <w:top w:val="nil"/>
          <w:left w:val="nil"/>
          <w:bottom w:val="nil"/>
          <w:right w:val="nil"/>
          <w:between w:val="nil"/>
        </w:pBdr>
      </w:pPr>
      <w:r>
        <w:rPr>
          <w:b/>
          <w:bCs/>
        </w:rPr>
        <w:t>The Mechanism:</w:t>
      </w:r>
      <w:r>
        <w:t xml:space="preserve"> The high-density acellular lipid matrices derived from the exoskeletal shell structure of these simulated large arthropod vectors possess a molecular weight configuration that exceeds standard human metabolic clearance thresholds.</w:t>
      </w:r>
    </w:p>
    <w:p w14:paraId="7900A04D" w14:textId="77777777" w:rsidR="008413A2" w:rsidRDefault="00000000">
      <w:pPr>
        <w:numPr>
          <w:ilvl w:val="0"/>
          <w:numId w:val="1"/>
        </w:numPr>
        <w:pBdr>
          <w:top w:val="nil"/>
          <w:left w:val="nil"/>
          <w:bottom w:val="nil"/>
          <w:right w:val="nil"/>
          <w:between w:val="nil"/>
        </w:pBdr>
      </w:pPr>
      <w:r>
        <w:rPr>
          <w:b/>
          <w:bCs/>
        </w:rPr>
        <w:t>The Clinical Risk:</w:t>
      </w:r>
      <w:r>
        <w:t xml:space="preserve"> When introduced into the human body via a deep piercing wound, the local concentration of these unique lipids saturates tissue layers, inducing rapid desmoplastic tissue reactions.</w:t>
      </w:r>
    </w:p>
    <w:p w14:paraId="2812ADEC" w14:textId="77777777" w:rsidR="008413A2" w:rsidRDefault="00000000">
      <w:pPr>
        <w:numPr>
          <w:ilvl w:val="0"/>
          <w:numId w:val="1"/>
        </w:numPr>
        <w:pBdr>
          <w:top w:val="nil"/>
          <w:left w:val="nil"/>
          <w:bottom w:val="nil"/>
          <w:right w:val="nil"/>
          <w:between w:val="nil"/>
        </w:pBdr>
      </w:pPr>
      <w:r>
        <w:rPr>
          <w:b/>
          <w:bCs/>
        </w:rPr>
        <w:t>PO ND Limitation:</w:t>
      </w:r>
      <w:r>
        <w:t xml:space="preserve"> Oral administration (PO) forces these dense, complex compounds through the hepatic first-pass metabolic pathway. The liver is incapable of processing this localized lipid overload efficiently, resulting in systemic hepatic strain and cellular toxicity without successfully breaking down the dense lipid-chitin matrix at the primary wound site.</w:t>
      </w:r>
    </w:p>
    <w:p w14:paraId="17FC35C6" w14:textId="77777777" w:rsidR="0082267A" w:rsidRDefault="0082267A">
      <w:pPr>
        <w:pStyle w:val="Heading2"/>
        <w:rPr>
          <w:sz w:val="30"/>
          <w:szCs w:val="30"/>
        </w:rPr>
      </w:pPr>
    </w:p>
    <w:p w14:paraId="58C1306F" w14:textId="77777777" w:rsidR="0082267A" w:rsidRDefault="0082267A">
      <w:pPr>
        <w:pStyle w:val="Heading2"/>
        <w:rPr>
          <w:sz w:val="30"/>
          <w:szCs w:val="30"/>
        </w:rPr>
      </w:pPr>
    </w:p>
    <w:p w14:paraId="748C61B9" w14:textId="77777777" w:rsidR="0082267A" w:rsidRDefault="0082267A">
      <w:pPr>
        <w:pStyle w:val="Heading2"/>
        <w:rPr>
          <w:sz w:val="30"/>
          <w:szCs w:val="30"/>
        </w:rPr>
      </w:pPr>
    </w:p>
    <w:p w14:paraId="05225AB6" w14:textId="77777777" w:rsidR="0082267A" w:rsidRDefault="0082267A">
      <w:pPr>
        <w:pStyle w:val="Heading2"/>
        <w:rPr>
          <w:sz w:val="30"/>
          <w:szCs w:val="30"/>
        </w:rPr>
      </w:pPr>
    </w:p>
    <w:p w14:paraId="725D1423" w14:textId="77777777" w:rsidR="0082267A" w:rsidRDefault="0082267A">
      <w:pPr>
        <w:pStyle w:val="Heading2"/>
        <w:rPr>
          <w:sz w:val="30"/>
          <w:szCs w:val="30"/>
        </w:rPr>
      </w:pPr>
    </w:p>
    <w:p w14:paraId="14226B9A" w14:textId="77777777" w:rsidR="0082267A" w:rsidRDefault="0082267A">
      <w:pPr>
        <w:pStyle w:val="Heading2"/>
        <w:rPr>
          <w:sz w:val="30"/>
          <w:szCs w:val="30"/>
        </w:rPr>
      </w:pPr>
    </w:p>
    <w:p w14:paraId="5599B8A9" w14:textId="77777777" w:rsidR="0082267A" w:rsidRDefault="0082267A">
      <w:pPr>
        <w:pStyle w:val="Heading2"/>
        <w:rPr>
          <w:sz w:val="30"/>
          <w:szCs w:val="30"/>
        </w:rPr>
      </w:pPr>
    </w:p>
    <w:p w14:paraId="201CBE96" w14:textId="77777777" w:rsidR="0082267A" w:rsidRDefault="0082267A">
      <w:pPr>
        <w:pStyle w:val="Heading2"/>
        <w:rPr>
          <w:sz w:val="30"/>
          <w:szCs w:val="30"/>
        </w:rPr>
      </w:pPr>
    </w:p>
    <w:p w14:paraId="65584AE5" w14:textId="77777777" w:rsidR="0082267A" w:rsidRDefault="0082267A">
      <w:pPr>
        <w:pStyle w:val="Heading2"/>
        <w:rPr>
          <w:sz w:val="30"/>
          <w:szCs w:val="30"/>
        </w:rPr>
      </w:pPr>
    </w:p>
    <w:p w14:paraId="75DF5709" w14:textId="77777777" w:rsidR="0082267A" w:rsidRDefault="0082267A">
      <w:pPr>
        <w:pStyle w:val="Heading2"/>
        <w:rPr>
          <w:sz w:val="30"/>
          <w:szCs w:val="30"/>
        </w:rPr>
      </w:pPr>
    </w:p>
    <w:p w14:paraId="68FF1941" w14:textId="77777777" w:rsidR="0082267A" w:rsidRDefault="0082267A">
      <w:pPr>
        <w:pStyle w:val="Heading2"/>
        <w:rPr>
          <w:sz w:val="30"/>
          <w:szCs w:val="30"/>
        </w:rPr>
      </w:pPr>
    </w:p>
    <w:p w14:paraId="3C20316C" w14:textId="77777777" w:rsidR="0082267A" w:rsidRDefault="0082267A">
      <w:pPr>
        <w:pStyle w:val="Heading2"/>
        <w:rPr>
          <w:sz w:val="30"/>
          <w:szCs w:val="30"/>
        </w:rPr>
      </w:pPr>
    </w:p>
    <w:p w14:paraId="4AECD984" w14:textId="77777777" w:rsidR="0082267A" w:rsidRDefault="0082267A">
      <w:pPr>
        <w:pStyle w:val="Heading2"/>
        <w:rPr>
          <w:sz w:val="30"/>
          <w:szCs w:val="30"/>
        </w:rPr>
      </w:pPr>
    </w:p>
    <w:p w14:paraId="65703768" w14:textId="77777777" w:rsidR="0082267A" w:rsidRDefault="0082267A">
      <w:pPr>
        <w:pStyle w:val="Heading2"/>
        <w:rPr>
          <w:sz w:val="30"/>
          <w:szCs w:val="30"/>
        </w:rPr>
      </w:pPr>
    </w:p>
    <w:p w14:paraId="3774BBB9" w14:textId="77777777" w:rsidR="0082267A" w:rsidRDefault="0082267A">
      <w:pPr>
        <w:pStyle w:val="Heading2"/>
        <w:rPr>
          <w:sz w:val="30"/>
          <w:szCs w:val="30"/>
        </w:rPr>
      </w:pPr>
    </w:p>
    <w:p w14:paraId="3A7C6D3E" w14:textId="77777777" w:rsidR="0082267A" w:rsidRDefault="0082267A">
      <w:pPr>
        <w:pStyle w:val="Heading2"/>
        <w:rPr>
          <w:sz w:val="30"/>
          <w:szCs w:val="30"/>
        </w:rPr>
      </w:pPr>
    </w:p>
    <w:p w14:paraId="5463C494" w14:textId="77777777" w:rsidR="0082267A" w:rsidRDefault="0082267A">
      <w:pPr>
        <w:pStyle w:val="Heading2"/>
        <w:rPr>
          <w:sz w:val="30"/>
          <w:szCs w:val="30"/>
        </w:rPr>
      </w:pPr>
    </w:p>
    <w:p w14:paraId="6FA70BA0" w14:textId="5277AE3A" w:rsidR="008413A2" w:rsidRDefault="00000000">
      <w:pPr>
        <w:pStyle w:val="Heading2"/>
        <w:rPr>
          <w:sz w:val="30"/>
          <w:szCs w:val="30"/>
        </w:rPr>
      </w:pPr>
      <w:r>
        <w:rPr>
          <w:sz w:val="30"/>
          <w:szCs w:val="30"/>
        </w:rPr>
        <w:lastRenderedPageBreak/>
        <w:t>2. Failure to Contain Secondary Transmission Vectors</w:t>
      </w:r>
    </w:p>
    <w:p w14:paraId="7675F19B" w14:textId="77777777" w:rsidR="008413A2" w:rsidRDefault="00000000">
      <w:pPr>
        <w:numPr>
          <w:ilvl w:val="0"/>
          <w:numId w:val="2"/>
        </w:numPr>
        <w:pBdr>
          <w:top w:val="nil"/>
          <w:left w:val="nil"/>
          <w:bottom w:val="nil"/>
          <w:right w:val="nil"/>
          <w:between w:val="nil"/>
        </w:pBdr>
      </w:pPr>
      <w:r>
        <w:rPr>
          <w:b/>
          <w:bCs/>
        </w:rPr>
        <w:t>The Containment Gap:</w:t>
      </w:r>
      <w:r>
        <w:t xml:space="preserve"> A primary objective during an active remote outbreak protocol is breaking the chain of transmission. PO ND medications act systemically and slowly; they do not establish an immediate chemical or physical barrier at the site of host-vector penetration.</w:t>
      </w:r>
    </w:p>
    <w:p w14:paraId="25C2CA83" w14:textId="77777777" w:rsidR="008413A2" w:rsidRDefault="00000000">
      <w:pPr>
        <w:numPr>
          <w:ilvl w:val="0"/>
          <w:numId w:val="2"/>
        </w:numPr>
        <w:pBdr>
          <w:top w:val="nil"/>
          <w:left w:val="nil"/>
          <w:bottom w:val="nil"/>
          <w:right w:val="nil"/>
          <w:between w:val="nil"/>
        </w:pBdr>
      </w:pPr>
      <w:r>
        <w:rPr>
          <w:b/>
          <w:bCs/>
        </w:rPr>
        <w:t>Wound-to-Human Spread:</w:t>
      </w:r>
      <w:r>
        <w:t xml:space="preserve"> Because PO ND protocols lack contact-killing or rapid localized encapsulation capabilities, infectious components and target pathogens present within the open, draining wound tissue can easily escape into the surrounding environment. This poses an immediate hazard to first responders, triage nurses, and transport staff unless the patient is immediately placed inside a specialized </w:t>
      </w:r>
      <w:r>
        <w:rPr>
          <w:b/>
          <w:bCs/>
        </w:rPr>
        <w:t>infection body bag</w:t>
      </w:r>
      <w:r>
        <w:t xml:space="preserve"> or an air-gapped isolation field handled by a regenerative trauma hospital.</w:t>
      </w:r>
    </w:p>
    <w:p w14:paraId="53E44D75" w14:textId="77777777" w:rsidR="0082267A" w:rsidRDefault="0082267A">
      <w:pPr>
        <w:pStyle w:val="Heading2"/>
        <w:rPr>
          <w:sz w:val="30"/>
          <w:szCs w:val="30"/>
        </w:rPr>
      </w:pPr>
    </w:p>
    <w:p w14:paraId="56CBC500" w14:textId="77777777" w:rsidR="0082267A" w:rsidRDefault="0082267A">
      <w:pPr>
        <w:pStyle w:val="Heading2"/>
        <w:rPr>
          <w:sz w:val="30"/>
          <w:szCs w:val="30"/>
        </w:rPr>
      </w:pPr>
    </w:p>
    <w:p w14:paraId="6A53F691" w14:textId="77777777" w:rsidR="0082267A" w:rsidRDefault="0082267A">
      <w:pPr>
        <w:pStyle w:val="Heading2"/>
        <w:rPr>
          <w:sz w:val="30"/>
          <w:szCs w:val="30"/>
        </w:rPr>
      </w:pPr>
    </w:p>
    <w:p w14:paraId="1D54AB0E" w14:textId="77777777" w:rsidR="0082267A" w:rsidRDefault="0082267A">
      <w:pPr>
        <w:pStyle w:val="Heading2"/>
        <w:rPr>
          <w:sz w:val="30"/>
          <w:szCs w:val="30"/>
        </w:rPr>
      </w:pPr>
    </w:p>
    <w:p w14:paraId="43D69EB4" w14:textId="77777777" w:rsidR="0082267A" w:rsidRDefault="0082267A">
      <w:pPr>
        <w:pStyle w:val="Heading2"/>
        <w:rPr>
          <w:sz w:val="30"/>
          <w:szCs w:val="30"/>
        </w:rPr>
      </w:pPr>
    </w:p>
    <w:p w14:paraId="7B21116E" w14:textId="77777777" w:rsidR="0082267A" w:rsidRDefault="0082267A">
      <w:pPr>
        <w:pStyle w:val="Heading2"/>
        <w:rPr>
          <w:sz w:val="30"/>
          <w:szCs w:val="30"/>
        </w:rPr>
      </w:pPr>
    </w:p>
    <w:p w14:paraId="179B25B4" w14:textId="77777777" w:rsidR="0082267A" w:rsidRDefault="0082267A">
      <w:pPr>
        <w:pStyle w:val="Heading2"/>
        <w:rPr>
          <w:sz w:val="30"/>
          <w:szCs w:val="30"/>
        </w:rPr>
      </w:pPr>
    </w:p>
    <w:p w14:paraId="09354B5A" w14:textId="77777777" w:rsidR="0082267A" w:rsidRDefault="0082267A">
      <w:pPr>
        <w:pStyle w:val="Heading2"/>
        <w:rPr>
          <w:sz w:val="30"/>
          <w:szCs w:val="30"/>
        </w:rPr>
      </w:pPr>
    </w:p>
    <w:p w14:paraId="5ECE1E14" w14:textId="77777777" w:rsidR="0082267A" w:rsidRDefault="0082267A">
      <w:pPr>
        <w:pStyle w:val="Heading2"/>
        <w:rPr>
          <w:sz w:val="30"/>
          <w:szCs w:val="30"/>
        </w:rPr>
      </w:pPr>
    </w:p>
    <w:p w14:paraId="48FE553B" w14:textId="77777777" w:rsidR="0082267A" w:rsidRDefault="0082267A">
      <w:pPr>
        <w:pStyle w:val="Heading2"/>
        <w:rPr>
          <w:sz w:val="30"/>
          <w:szCs w:val="30"/>
        </w:rPr>
      </w:pPr>
    </w:p>
    <w:p w14:paraId="27A250C5" w14:textId="77777777" w:rsidR="0082267A" w:rsidRDefault="0082267A">
      <w:pPr>
        <w:pStyle w:val="Heading2"/>
        <w:rPr>
          <w:sz w:val="30"/>
          <w:szCs w:val="30"/>
        </w:rPr>
      </w:pPr>
    </w:p>
    <w:p w14:paraId="651371DC" w14:textId="77777777" w:rsidR="0082267A" w:rsidRDefault="0082267A">
      <w:pPr>
        <w:pStyle w:val="Heading2"/>
        <w:rPr>
          <w:sz w:val="30"/>
          <w:szCs w:val="30"/>
        </w:rPr>
      </w:pPr>
    </w:p>
    <w:p w14:paraId="5000F3EE" w14:textId="77777777" w:rsidR="0082267A" w:rsidRDefault="0082267A">
      <w:pPr>
        <w:pStyle w:val="Heading2"/>
        <w:rPr>
          <w:sz w:val="30"/>
          <w:szCs w:val="30"/>
        </w:rPr>
      </w:pPr>
    </w:p>
    <w:p w14:paraId="01E32A39" w14:textId="77777777" w:rsidR="0082267A" w:rsidRDefault="0082267A">
      <w:pPr>
        <w:pStyle w:val="Heading2"/>
        <w:rPr>
          <w:sz w:val="30"/>
          <w:szCs w:val="30"/>
        </w:rPr>
      </w:pPr>
    </w:p>
    <w:p w14:paraId="225A25DC" w14:textId="77777777" w:rsidR="0082267A" w:rsidRDefault="0082267A">
      <w:pPr>
        <w:pStyle w:val="Heading2"/>
        <w:rPr>
          <w:sz w:val="30"/>
          <w:szCs w:val="30"/>
        </w:rPr>
      </w:pPr>
    </w:p>
    <w:p w14:paraId="667A32B2" w14:textId="77777777" w:rsidR="0082267A" w:rsidRDefault="0082267A">
      <w:pPr>
        <w:pStyle w:val="Heading2"/>
        <w:rPr>
          <w:sz w:val="30"/>
          <w:szCs w:val="30"/>
        </w:rPr>
      </w:pPr>
    </w:p>
    <w:p w14:paraId="564E5C14" w14:textId="77777777" w:rsidR="0082267A" w:rsidRDefault="0082267A">
      <w:pPr>
        <w:pStyle w:val="Heading2"/>
        <w:rPr>
          <w:sz w:val="30"/>
          <w:szCs w:val="30"/>
        </w:rPr>
      </w:pPr>
    </w:p>
    <w:p w14:paraId="3CDFB92A" w14:textId="78F7D25E" w:rsidR="008413A2" w:rsidRDefault="00000000">
      <w:pPr>
        <w:pStyle w:val="Heading2"/>
        <w:rPr>
          <w:sz w:val="30"/>
          <w:szCs w:val="30"/>
        </w:rPr>
      </w:pPr>
      <w:r>
        <w:rPr>
          <w:sz w:val="30"/>
          <w:szCs w:val="30"/>
        </w:rPr>
        <w:lastRenderedPageBreak/>
        <w:t>3. Extended Therapeutic Latency (6-Month Kinetic Window)</w:t>
      </w:r>
    </w:p>
    <w:p w14:paraId="6DCF5539" w14:textId="77777777" w:rsidR="008413A2" w:rsidRDefault="00000000">
      <w:pPr>
        <w:numPr>
          <w:ilvl w:val="0"/>
          <w:numId w:val="3"/>
        </w:numPr>
        <w:pBdr>
          <w:top w:val="nil"/>
          <w:left w:val="nil"/>
          <w:bottom w:val="nil"/>
          <w:right w:val="nil"/>
          <w:between w:val="nil"/>
        </w:pBdr>
      </w:pPr>
      <w:r>
        <w:rPr>
          <w:b/>
          <w:bCs/>
        </w:rPr>
        <w:t>The Timeline:</w:t>
      </w:r>
      <w:r>
        <w:t xml:space="preserve"> Longitudinal computational profiling inside formula-analytics demonstrates that standard oral administration lines require an extended kinetic transport timeline.</w:t>
      </w:r>
    </w:p>
    <w:p w14:paraId="46056B29" w14:textId="77777777" w:rsidR="008413A2" w:rsidRDefault="00000000">
      <w:pPr>
        <w:numPr>
          <w:ilvl w:val="0"/>
          <w:numId w:val="3"/>
        </w:numPr>
        <w:pBdr>
          <w:top w:val="nil"/>
          <w:left w:val="nil"/>
          <w:bottom w:val="nil"/>
          <w:right w:val="nil"/>
          <w:between w:val="nil"/>
        </w:pBdr>
      </w:pPr>
      <w:r>
        <w:rPr>
          <w:b/>
          <w:bCs/>
        </w:rPr>
        <w:t>The 6-Month Delay:</w:t>
      </w:r>
      <w:r>
        <w:t xml:space="preserve"> Achieving therapeutic serum steady-states and initiating full macro-molecular tissue remodeling via oral botanical complexes (e.g., standard </w:t>
      </w:r>
      <w:r>
        <w:rPr>
          <w:i/>
          <w:iCs/>
        </w:rPr>
        <w:t>Pinus pinaster</w:t>
      </w:r>
      <w:r>
        <w:t xml:space="preserve"> or polyphenol tracking profiles) takes up to </w:t>
      </w:r>
      <w:r>
        <w:rPr>
          <w:b/>
          <w:bCs/>
        </w:rPr>
        <w:t>6 months</w:t>
      </w:r>
      <w:r>
        <w:t xml:space="preserve"> to fully resolve dense, scirrhous-like tissue configurations.</w:t>
      </w:r>
    </w:p>
    <w:p w14:paraId="58ECDCAF" w14:textId="77777777" w:rsidR="008413A2" w:rsidRDefault="00000000">
      <w:pPr>
        <w:numPr>
          <w:ilvl w:val="0"/>
          <w:numId w:val="3"/>
        </w:numPr>
        <w:pBdr>
          <w:top w:val="nil"/>
          <w:left w:val="nil"/>
          <w:bottom w:val="nil"/>
          <w:right w:val="nil"/>
          <w:between w:val="nil"/>
        </w:pBdr>
      </w:pPr>
      <w:proofErr w:type="gramStart"/>
      <w:r>
        <w:rPr>
          <w:b/>
          <w:bCs/>
        </w:rPr>
        <w:t>The Acute</w:t>
      </w:r>
      <w:proofErr w:type="gramEnd"/>
      <w:r>
        <w:rPr>
          <w:b/>
          <w:bCs/>
        </w:rPr>
        <w:t xml:space="preserve"> Danger:</w:t>
      </w:r>
      <w:r>
        <w:t xml:space="preserve"> Acute trauma demands an immediate cellular response to halt tissue degradation, manage ischemic fluid dynamics, and neutralize localized toxins within hours. A 6-month therapeutic window allows deep cellular necrosis or unchecked viral replication to compromise the extremity long before the oral medication achieves therapeutic tissue saturation.</w:t>
      </w:r>
    </w:p>
    <w:p w14:paraId="03B86596" w14:textId="77777777" w:rsidR="0082267A" w:rsidRDefault="0082267A">
      <w:pPr>
        <w:pStyle w:val="Heading2"/>
      </w:pPr>
    </w:p>
    <w:p w14:paraId="18560966" w14:textId="77777777" w:rsidR="0082267A" w:rsidRDefault="0082267A">
      <w:pPr>
        <w:pStyle w:val="Heading2"/>
      </w:pPr>
    </w:p>
    <w:p w14:paraId="74C5DA7A" w14:textId="77777777" w:rsidR="0082267A" w:rsidRDefault="0082267A">
      <w:pPr>
        <w:pStyle w:val="Heading2"/>
      </w:pPr>
    </w:p>
    <w:p w14:paraId="01C0151F" w14:textId="77777777" w:rsidR="0082267A" w:rsidRDefault="0082267A">
      <w:pPr>
        <w:pStyle w:val="Heading2"/>
      </w:pPr>
    </w:p>
    <w:p w14:paraId="5F95254A" w14:textId="77777777" w:rsidR="0082267A" w:rsidRDefault="0082267A">
      <w:pPr>
        <w:pStyle w:val="Heading2"/>
      </w:pPr>
    </w:p>
    <w:p w14:paraId="4389CC04" w14:textId="77777777" w:rsidR="0082267A" w:rsidRDefault="0082267A">
      <w:pPr>
        <w:pStyle w:val="Heading2"/>
      </w:pPr>
    </w:p>
    <w:p w14:paraId="67526577" w14:textId="77777777" w:rsidR="0082267A" w:rsidRDefault="0082267A">
      <w:pPr>
        <w:pStyle w:val="Heading2"/>
      </w:pPr>
    </w:p>
    <w:p w14:paraId="547C8CAC" w14:textId="77777777" w:rsidR="0082267A" w:rsidRDefault="0082267A">
      <w:pPr>
        <w:pStyle w:val="Heading2"/>
      </w:pPr>
    </w:p>
    <w:p w14:paraId="738B30DA" w14:textId="77777777" w:rsidR="0082267A" w:rsidRDefault="0082267A">
      <w:pPr>
        <w:pStyle w:val="Heading2"/>
      </w:pPr>
    </w:p>
    <w:p w14:paraId="0C60AEB8" w14:textId="77777777" w:rsidR="0082267A" w:rsidRDefault="0082267A">
      <w:pPr>
        <w:pStyle w:val="Heading2"/>
      </w:pPr>
    </w:p>
    <w:p w14:paraId="5EEFF6C7" w14:textId="77777777" w:rsidR="0082267A" w:rsidRDefault="0082267A">
      <w:pPr>
        <w:pStyle w:val="Heading2"/>
      </w:pPr>
    </w:p>
    <w:p w14:paraId="0CE4033C" w14:textId="77777777" w:rsidR="0082267A" w:rsidRDefault="0082267A">
      <w:pPr>
        <w:pStyle w:val="Heading2"/>
      </w:pPr>
    </w:p>
    <w:p w14:paraId="5AAA4C0D" w14:textId="77777777" w:rsidR="0082267A" w:rsidRDefault="0082267A">
      <w:pPr>
        <w:pStyle w:val="Heading2"/>
      </w:pPr>
    </w:p>
    <w:p w14:paraId="41DB141F" w14:textId="77777777" w:rsidR="0082267A" w:rsidRDefault="0082267A">
      <w:pPr>
        <w:pStyle w:val="Heading2"/>
      </w:pPr>
    </w:p>
    <w:p w14:paraId="40C049D7" w14:textId="77777777" w:rsidR="0082267A" w:rsidRDefault="0082267A">
      <w:pPr>
        <w:pStyle w:val="Heading2"/>
      </w:pPr>
    </w:p>
    <w:p w14:paraId="11DB08C8" w14:textId="02EC5D34" w:rsidR="008413A2" w:rsidRDefault="00000000">
      <w:pPr>
        <w:pStyle w:val="Heading2"/>
        <w:rPr>
          <w:sz w:val="30"/>
          <w:szCs w:val="30"/>
        </w:rPr>
      </w:pPr>
      <w:r>
        <w:rPr>
          <w:sz w:val="30"/>
          <w:szCs w:val="30"/>
        </w:rPr>
        <w:lastRenderedPageBreak/>
        <w:t>Standard Protocol Matrix: Acute Trauma Interventions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413A2" w14:paraId="1FABA35D" w14:textId="77777777">
        <w:trPr>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CA704" w14:textId="77777777" w:rsidR="008413A2" w:rsidRDefault="00000000">
            <w:pPr>
              <w:pBdr>
                <w:top w:val="nil"/>
                <w:left w:val="nil"/>
                <w:bottom w:val="nil"/>
                <w:right w:val="nil"/>
                <w:between w:val="nil"/>
              </w:pBdr>
              <w:spacing w:before="100" w:after="100" w:line="288" w:lineRule="auto"/>
            </w:pPr>
            <w:r>
              <w:t>Clinical Parameter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00D70" w14:textId="77777777" w:rsidR="008413A2" w:rsidRDefault="00000000">
            <w:pPr>
              <w:pBdr>
                <w:top w:val="nil"/>
                <w:left w:val="nil"/>
                <w:bottom w:val="nil"/>
                <w:right w:val="nil"/>
                <w:between w:val="nil"/>
              </w:pBdr>
              <w:spacing w:before="100" w:after="100" w:line="288" w:lineRule="auto"/>
            </w:pPr>
            <w:r>
              <w:t>Standard PO ND Regimen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03204" w14:textId="77777777" w:rsidR="008413A2" w:rsidRDefault="00000000">
            <w:pPr>
              <w:pBdr>
                <w:top w:val="nil"/>
                <w:left w:val="nil"/>
                <w:bottom w:val="nil"/>
                <w:right w:val="nil"/>
                <w:between w:val="nil"/>
              </w:pBdr>
              <w:spacing w:before="100" w:after="100" w:line="288" w:lineRule="auto"/>
            </w:pPr>
            <w:r>
              <w:t>Regenerative Trauma Hospital (Preferred)</w:t>
            </w:r>
          </w:p>
        </w:tc>
      </w:tr>
      <w:tr w:rsidR="008413A2" w14:paraId="777D0AD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6ED72" w14:textId="77777777" w:rsidR="008413A2" w:rsidRDefault="00000000">
            <w:pPr>
              <w:pBdr>
                <w:top w:val="nil"/>
                <w:left w:val="nil"/>
                <w:bottom w:val="nil"/>
                <w:right w:val="nil"/>
                <w:between w:val="nil"/>
              </w:pBdr>
              <w:spacing w:before="100" w:after="100" w:line="288" w:lineRule="auto"/>
              <w:rPr>
                <w:b/>
                <w:bCs/>
              </w:rPr>
            </w:pPr>
            <w:r>
              <w:rPr>
                <w:b/>
                <w:bCs/>
              </w:rPr>
              <w:t>Therapeutic Latency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FECE8" w14:textId="3FA5F2CD" w:rsidR="008413A2" w:rsidRDefault="00000000">
            <w:pPr>
              <w:pBdr>
                <w:top w:val="nil"/>
                <w:left w:val="nil"/>
                <w:bottom w:val="nil"/>
                <w:right w:val="nil"/>
                <w:between w:val="nil"/>
              </w:pBdr>
              <w:spacing w:before="100" w:after="100" w:line="288" w:lineRule="auto"/>
            </w:pPr>
            <w:r>
              <w:rPr>
                <w:b/>
                <w:bCs/>
              </w:rPr>
              <w:t>6 Months</w:t>
            </w:r>
            <w:r>
              <w:t xml:space="preserve"> (Delayed response)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0467D" w14:textId="64E9E54E" w:rsidR="008413A2" w:rsidRDefault="00000000">
            <w:pPr>
              <w:pBdr>
                <w:top w:val="nil"/>
                <w:left w:val="nil"/>
                <w:bottom w:val="nil"/>
                <w:right w:val="nil"/>
                <w:between w:val="nil"/>
              </w:pBdr>
              <w:spacing w:before="100" w:after="100" w:line="288" w:lineRule="auto"/>
            </w:pPr>
            <w:r>
              <w:rPr>
                <w:b/>
                <w:bCs/>
              </w:rPr>
              <w:t>Immediate</w:t>
            </w:r>
            <w:r>
              <w:t xml:space="preserve"> (Advanced fluid dynamics/matrix control)</w:t>
            </w:r>
          </w:p>
        </w:tc>
      </w:tr>
      <w:tr w:rsidR="008413A2" w14:paraId="0D6E181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4D2DD" w14:textId="77777777" w:rsidR="008413A2" w:rsidRDefault="00000000">
            <w:pPr>
              <w:pBdr>
                <w:top w:val="nil"/>
                <w:left w:val="nil"/>
                <w:bottom w:val="nil"/>
                <w:right w:val="nil"/>
                <w:between w:val="nil"/>
              </w:pBdr>
              <w:spacing w:before="100" w:after="100" w:line="288" w:lineRule="auto"/>
              <w:rPr>
                <w:b/>
                <w:bCs/>
              </w:rPr>
            </w:pPr>
            <w:r>
              <w:rPr>
                <w:b/>
                <w:bCs/>
              </w:rPr>
              <w:t>Lipid Saturation Profile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A2128" w14:textId="7E3187D9" w:rsidR="008413A2" w:rsidRDefault="00000000">
            <w:pPr>
              <w:pBdr>
                <w:top w:val="nil"/>
                <w:left w:val="nil"/>
                <w:bottom w:val="nil"/>
                <w:right w:val="nil"/>
                <w:between w:val="nil"/>
              </w:pBdr>
              <w:spacing w:before="100" w:after="100" w:line="288" w:lineRule="auto"/>
            </w:pPr>
            <w:r>
              <w:t>Hepatic overload / Toxic accumulation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6D033" w14:textId="01C8861D" w:rsidR="008413A2" w:rsidRDefault="00000000">
            <w:pPr>
              <w:pBdr>
                <w:top w:val="nil"/>
                <w:left w:val="nil"/>
                <w:bottom w:val="nil"/>
                <w:right w:val="nil"/>
                <w:between w:val="nil"/>
              </w:pBdr>
              <w:spacing w:before="100" w:after="100" w:line="288" w:lineRule="auto"/>
            </w:pPr>
            <w:r>
              <w:rPr>
                <w:rFonts w:ascii="Arial Unicode MS" w:eastAsia="Arial Unicode MS" w:hAnsi="Arial Unicode MS" w:cs="Arial Unicode MS"/>
              </w:rPr>
              <w:t>Advanced mechanical extraction / Tissue remodeling</w:t>
            </w:r>
          </w:p>
        </w:tc>
      </w:tr>
      <w:tr w:rsidR="008413A2" w14:paraId="0763396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FAD02" w14:textId="77777777" w:rsidR="008413A2" w:rsidRDefault="00000000">
            <w:pPr>
              <w:pBdr>
                <w:top w:val="nil"/>
                <w:left w:val="nil"/>
                <w:bottom w:val="nil"/>
                <w:right w:val="nil"/>
                <w:between w:val="nil"/>
              </w:pBdr>
              <w:spacing w:before="100" w:after="100" w:line="288" w:lineRule="auto"/>
              <w:rPr>
                <w:b/>
                <w:bCs/>
              </w:rPr>
            </w:pPr>
            <w:r>
              <w:rPr>
                <w:b/>
                <w:bCs/>
              </w:rPr>
              <w:t>Transmission Containment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D0077" w14:textId="1CA3E6D8" w:rsidR="008413A2" w:rsidRDefault="00000000">
            <w:pPr>
              <w:pBdr>
                <w:top w:val="nil"/>
                <w:left w:val="nil"/>
                <w:bottom w:val="nil"/>
                <w:right w:val="nil"/>
                <w:between w:val="nil"/>
              </w:pBdr>
              <w:spacing w:before="100" w:after="100" w:line="288" w:lineRule="auto"/>
            </w:pPr>
            <w:r>
              <w:rPr>
                <w:rFonts w:ascii="Arial Unicode MS" w:eastAsia="Arial Unicode MS" w:hAnsi="Arial Unicode MS" w:cs="Arial Unicode MS"/>
              </w:rPr>
              <w:t>Minimal protection against wound spread</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7ADCD" w14:textId="44F25D4C" w:rsidR="008413A2" w:rsidRDefault="00000000">
            <w:pPr>
              <w:pBdr>
                <w:top w:val="nil"/>
                <w:left w:val="nil"/>
                <w:bottom w:val="nil"/>
                <w:right w:val="nil"/>
                <w:between w:val="nil"/>
              </w:pBdr>
              <w:spacing w:before="100" w:after="100" w:line="288" w:lineRule="auto"/>
            </w:pPr>
            <w:r>
              <w:t>Strict isolation fields / Immediate vector gating</w:t>
            </w:r>
          </w:p>
        </w:tc>
      </w:tr>
      <w:tr w:rsidR="008413A2" w14:paraId="1B744D71"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E43DF" w14:textId="77777777" w:rsidR="008413A2" w:rsidRDefault="00000000">
            <w:pPr>
              <w:pBdr>
                <w:top w:val="nil"/>
                <w:left w:val="nil"/>
                <w:bottom w:val="nil"/>
                <w:right w:val="nil"/>
                <w:between w:val="nil"/>
              </w:pBdr>
              <w:spacing w:before="100" w:after="100" w:line="288" w:lineRule="auto"/>
              <w:rPr>
                <w:b/>
                <w:bCs/>
              </w:rPr>
            </w:pPr>
            <w:r>
              <w:rPr>
                <w:b/>
                <w:bCs/>
              </w:rPr>
              <w:t>Indication Status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E6F02" w14:textId="77777777" w:rsidR="008413A2" w:rsidRDefault="00000000">
            <w:pPr>
              <w:pBdr>
                <w:top w:val="nil"/>
                <w:left w:val="nil"/>
                <w:bottom w:val="nil"/>
                <w:right w:val="nil"/>
                <w:between w:val="nil"/>
              </w:pBdr>
              <w:spacing w:before="100" w:after="100" w:line="288" w:lineRule="auto"/>
            </w:pPr>
            <w:r>
              <w:rPr>
                <w:b/>
                <w:bCs/>
              </w:rPr>
              <w:t>Contraindicated</w:t>
            </w:r>
            <w:r>
              <w:t xml:space="preserve"> (Except in absolute isolation)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56945" w14:textId="77777777" w:rsidR="008413A2" w:rsidRDefault="00000000">
            <w:pPr>
              <w:pBdr>
                <w:top w:val="nil"/>
                <w:left w:val="nil"/>
                <w:bottom w:val="nil"/>
                <w:right w:val="nil"/>
                <w:between w:val="nil"/>
              </w:pBdr>
              <w:spacing w:before="100" w:after="100" w:line="288" w:lineRule="auto"/>
            </w:pPr>
            <w:r>
              <w:rPr>
                <w:b/>
                <w:bCs/>
              </w:rPr>
              <w:t>Primary Mandate</w:t>
            </w:r>
            <w:r>
              <w:t xml:space="preserve"> (Direct transfer protocol)</w:t>
            </w:r>
          </w:p>
        </w:tc>
      </w:tr>
    </w:tbl>
    <w:p w14:paraId="6DB2B912" w14:textId="77777777" w:rsidR="0082267A" w:rsidRDefault="0082267A">
      <w:pPr>
        <w:pBdr>
          <w:top w:val="nil"/>
          <w:left w:val="nil"/>
          <w:bottom w:val="nil"/>
          <w:right w:val="nil"/>
          <w:between w:val="nil"/>
        </w:pBdr>
        <w:spacing w:before="240" w:after="240"/>
      </w:pPr>
    </w:p>
    <w:p w14:paraId="5DF2240D" w14:textId="77777777" w:rsidR="0082267A" w:rsidRDefault="0082267A">
      <w:pPr>
        <w:pBdr>
          <w:top w:val="nil"/>
          <w:left w:val="nil"/>
          <w:bottom w:val="nil"/>
          <w:right w:val="nil"/>
          <w:between w:val="nil"/>
        </w:pBdr>
        <w:spacing w:before="240" w:after="240"/>
      </w:pPr>
    </w:p>
    <w:p w14:paraId="04FE4BAE" w14:textId="77777777" w:rsidR="0082267A" w:rsidRDefault="0082267A">
      <w:pPr>
        <w:pBdr>
          <w:top w:val="nil"/>
          <w:left w:val="nil"/>
          <w:bottom w:val="nil"/>
          <w:right w:val="nil"/>
          <w:between w:val="nil"/>
        </w:pBdr>
        <w:spacing w:before="240" w:after="240"/>
      </w:pPr>
    </w:p>
    <w:p w14:paraId="5605557D" w14:textId="77777777" w:rsidR="0082267A" w:rsidRDefault="0082267A">
      <w:pPr>
        <w:pBdr>
          <w:top w:val="nil"/>
          <w:left w:val="nil"/>
          <w:bottom w:val="nil"/>
          <w:right w:val="nil"/>
          <w:between w:val="nil"/>
        </w:pBdr>
        <w:spacing w:before="240" w:after="240"/>
      </w:pPr>
    </w:p>
    <w:p w14:paraId="0E7B1A70" w14:textId="77777777" w:rsidR="0082267A" w:rsidRDefault="0082267A">
      <w:pPr>
        <w:pBdr>
          <w:top w:val="nil"/>
          <w:left w:val="nil"/>
          <w:bottom w:val="nil"/>
          <w:right w:val="nil"/>
          <w:between w:val="nil"/>
        </w:pBdr>
        <w:spacing w:before="240" w:after="240"/>
      </w:pPr>
    </w:p>
    <w:p w14:paraId="7C3E5099" w14:textId="77777777" w:rsidR="0082267A" w:rsidRDefault="0082267A">
      <w:pPr>
        <w:pBdr>
          <w:top w:val="nil"/>
          <w:left w:val="nil"/>
          <w:bottom w:val="nil"/>
          <w:right w:val="nil"/>
          <w:between w:val="nil"/>
        </w:pBdr>
        <w:spacing w:before="240" w:after="240"/>
      </w:pPr>
    </w:p>
    <w:p w14:paraId="0AB35626" w14:textId="77777777" w:rsidR="0082267A" w:rsidRDefault="0082267A">
      <w:pPr>
        <w:pBdr>
          <w:top w:val="nil"/>
          <w:left w:val="nil"/>
          <w:bottom w:val="nil"/>
          <w:right w:val="nil"/>
          <w:between w:val="nil"/>
        </w:pBdr>
        <w:spacing w:before="240" w:after="240"/>
      </w:pPr>
    </w:p>
    <w:p w14:paraId="3E28A269" w14:textId="77777777" w:rsidR="0082267A" w:rsidRDefault="0082267A">
      <w:pPr>
        <w:pBdr>
          <w:top w:val="nil"/>
          <w:left w:val="nil"/>
          <w:bottom w:val="nil"/>
          <w:right w:val="nil"/>
          <w:between w:val="nil"/>
        </w:pBdr>
        <w:spacing w:before="240" w:after="240"/>
      </w:pPr>
    </w:p>
    <w:p w14:paraId="240247F7" w14:textId="77777777" w:rsidR="0082267A" w:rsidRDefault="0082267A">
      <w:pPr>
        <w:pBdr>
          <w:top w:val="nil"/>
          <w:left w:val="nil"/>
          <w:bottom w:val="nil"/>
          <w:right w:val="nil"/>
          <w:between w:val="nil"/>
        </w:pBdr>
        <w:spacing w:before="240" w:after="240"/>
      </w:pPr>
    </w:p>
    <w:p w14:paraId="57CBA591" w14:textId="068FA73A" w:rsidR="008413A2" w:rsidRDefault="00000000">
      <w:pPr>
        <w:pBdr>
          <w:top w:val="nil"/>
          <w:left w:val="nil"/>
          <w:bottom w:val="nil"/>
          <w:right w:val="nil"/>
          <w:between w:val="nil"/>
        </w:pBdr>
        <w:spacing w:before="240" w:after="240"/>
      </w:pPr>
      <w:r>
        <w:pict w14:anchorId="7C18C237">
          <v:rect id="_x0000_i1027" style="width:0;height:1.5pt" o:hralign="center" o:hrstd="t" o:hr="t" fillcolor="#a0a0a0" stroked="f"/>
        </w:pict>
      </w:r>
      <w:r>
        <w:pict w14:anchorId="5CDFB868">
          <v:rect id="_x0000_i1028" style="width:0;height:1.5pt" o:hralign="center" o:hrstd="t" o:hr="t" fillcolor="#a0a0a0" stroked="f"/>
        </w:pict>
      </w:r>
      <w:r>
        <w:rPr>
          <w:b/>
          <w:bCs/>
        </w:rPr>
        <w:t>Medical Disclaimer:</w:t>
      </w:r>
      <w:r>
        <w:t xml:space="preserve"> This clinical protocol rationale is generated exclusively for technical infrastructure documentation, data modeling, and educational system configuration simulations. It does not reflect verified human pathology, real-world toxicology, or actionable emergency medical advice. For real-world traumatic injuries, environmental exposures, or medical crises, immediately activate local Emergency Medical Services (EMS) or consult a licensed healthcare professional.</w:t>
      </w:r>
    </w:p>
    <w:sectPr w:rsidR="008413A2" w:rsidSect="00D74CA1">
      <w:footerReference w:type="even" r:id="rId7"/>
      <w:footerReference w:type="default" r:id="rId8"/>
      <w:footerReference w:type="first" r:id="rId9"/>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12F67" w14:textId="77777777" w:rsidR="001E4C18" w:rsidRDefault="001E4C18" w:rsidP="0082267A">
      <w:r>
        <w:separator/>
      </w:r>
    </w:p>
  </w:endnote>
  <w:endnote w:type="continuationSeparator" w:id="0">
    <w:p w14:paraId="7BA5AD7D" w14:textId="77777777" w:rsidR="001E4C18" w:rsidRDefault="001E4C18" w:rsidP="00822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98609A-2B01-4008-A8CB-AFFF0C724E7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2BBEB82-5832-4937-9D22-A56D1FF90F95}"/>
  </w:font>
  <w:font w:name="Cambria">
    <w:panose1 w:val="02040503050406030204"/>
    <w:charset w:val="00"/>
    <w:family w:val="roman"/>
    <w:pitch w:val="variable"/>
    <w:sig w:usb0="E00006FF" w:usb1="420024FF" w:usb2="02000000" w:usb3="00000000" w:csb0="0000019F" w:csb1="00000000"/>
    <w:embedRegular r:id="rId3" w:fontKey="{477C883E-37C8-486A-A1DA-B10C0E1304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D087" w14:textId="5646C744" w:rsidR="00D74CA1" w:rsidRPr="00D74CA1" w:rsidRDefault="00D74CA1" w:rsidP="00D74CA1">
    <w:pPr>
      <w:pStyle w:val="Footer"/>
      <w:jc w:val="center"/>
    </w:pPr>
    <w:hyperlink r:id="rId1" w:history="1">
      <w:r w:rsidRPr="00D74CA1">
        <w:rPr>
          <w:rStyle w:val="Hyperlink"/>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7199" w14:textId="5BA79387" w:rsidR="00D74CA1" w:rsidRDefault="00D74CA1" w:rsidP="00D74CA1">
    <w:pPr>
      <w:pStyle w:val="Footer"/>
      <w:jc w:val="center"/>
    </w:pPr>
    <w:hyperlink r:id="rId1" w:history="1">
      <w:r w:rsidRPr="00D74CA1">
        <w:rPr>
          <w:rStyle w:val="Hyperlink"/>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A219" w14:textId="740EC1E8" w:rsidR="00D74CA1" w:rsidRDefault="00D74CA1" w:rsidP="00D74CA1">
    <w:pPr>
      <w:pStyle w:val="Footer"/>
      <w:jc w:val="center"/>
    </w:pPr>
    <w:hyperlink r:id="rId1" w:history="1">
      <w:r w:rsidRPr="00D74CA1">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DF709" w14:textId="77777777" w:rsidR="001E4C18" w:rsidRDefault="001E4C18" w:rsidP="0082267A">
      <w:r>
        <w:separator/>
      </w:r>
    </w:p>
  </w:footnote>
  <w:footnote w:type="continuationSeparator" w:id="0">
    <w:p w14:paraId="44B598D3" w14:textId="77777777" w:rsidR="001E4C18" w:rsidRDefault="001E4C18" w:rsidP="008226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B031B"/>
    <w:multiLevelType w:val="multilevel"/>
    <w:tmpl w:val="ABA8D2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2C05CE"/>
    <w:multiLevelType w:val="multilevel"/>
    <w:tmpl w:val="A106FC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F185EFC"/>
    <w:multiLevelType w:val="multilevel"/>
    <w:tmpl w:val="517A3C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19607985">
    <w:abstractNumId w:val="1"/>
  </w:num>
  <w:num w:numId="2" w16cid:durableId="1271006261">
    <w:abstractNumId w:val="2"/>
  </w:num>
  <w:num w:numId="3" w16cid:durableId="2098209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3A2"/>
    <w:rsid w:val="001E4C18"/>
    <w:rsid w:val="0082267A"/>
    <w:rsid w:val="008413A2"/>
    <w:rsid w:val="00D74CA1"/>
    <w:rsid w:val="00D91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7FB1D"/>
  <w15:docId w15:val="{6ED9C18C-54F5-4A1B-B47A-A0CFDEEE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2267A"/>
    <w:pPr>
      <w:tabs>
        <w:tab w:val="center" w:pos="4680"/>
        <w:tab w:val="right" w:pos="9360"/>
      </w:tabs>
    </w:pPr>
  </w:style>
  <w:style w:type="character" w:customStyle="1" w:styleId="HeaderChar">
    <w:name w:val="Header Char"/>
    <w:basedOn w:val="DefaultParagraphFont"/>
    <w:link w:val="Header"/>
    <w:uiPriority w:val="99"/>
    <w:rsid w:val="0082267A"/>
  </w:style>
  <w:style w:type="paragraph" w:styleId="Footer">
    <w:name w:val="footer"/>
    <w:basedOn w:val="Normal"/>
    <w:link w:val="FooterChar"/>
    <w:uiPriority w:val="99"/>
    <w:unhideWhenUsed/>
    <w:rsid w:val="0082267A"/>
    <w:pPr>
      <w:tabs>
        <w:tab w:val="center" w:pos="4680"/>
        <w:tab w:val="right" w:pos="9360"/>
      </w:tabs>
    </w:pPr>
  </w:style>
  <w:style w:type="character" w:customStyle="1" w:styleId="FooterChar">
    <w:name w:val="Footer Char"/>
    <w:basedOn w:val="DefaultParagraphFont"/>
    <w:link w:val="Footer"/>
    <w:uiPriority w:val="99"/>
    <w:rsid w:val="0082267A"/>
  </w:style>
  <w:style w:type="character" w:styleId="Hyperlink">
    <w:name w:val="Hyperlink"/>
    <w:basedOn w:val="DefaultParagraphFont"/>
    <w:uiPriority w:val="99"/>
    <w:unhideWhenUsed/>
    <w:rsid w:val="00D74CA1"/>
    <w:rPr>
      <w:color w:val="0000FF" w:themeColor="hyperlink"/>
      <w:u w:val="single"/>
    </w:rPr>
  </w:style>
  <w:style w:type="character" w:styleId="UnresolvedMention">
    <w:name w:val="Unresolved Mention"/>
    <w:basedOn w:val="DefaultParagraphFont"/>
    <w:uiPriority w:val="99"/>
    <w:semiHidden/>
    <w:unhideWhenUsed/>
    <w:rsid w:val="00D74C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662</Words>
  <Characters>3778</Characters>
  <Application>Microsoft Office Word</Application>
  <DocSecurity>0</DocSecurity>
  <Lines>31</Lines>
  <Paragraphs>8</Paragraphs>
  <ScaleCrop>false</ScaleCrop>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Cory Hofstad</cp:lastModifiedBy>
  <cp:revision>3</cp:revision>
  <dcterms:created xsi:type="dcterms:W3CDTF">2026-09-10T02:00:00Z</dcterms:created>
  <dcterms:modified xsi:type="dcterms:W3CDTF">2026-09-10T02:04:00Z</dcterms:modified>
</cp:coreProperties>
</file>