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Technical Report: The Molecular, Genetic, and Cellular Mechanics of Human Gonadal Sex Determination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Distributed Infrastructure Systems Research Group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Affiliation:</w:t>
      </w:r>
      <w:r w:rsidDel="00000000" w:rsidR="00000000" w:rsidRPr="00000000">
        <w:rPr>
          <w:rtl w:val="0"/>
        </w:rPr>
        <w:t xml:space="preserve"> Framework Validation Division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 ID:</w:t>
      </w:r>
      <w:r w:rsidDel="00000000" w:rsidR="00000000" w:rsidRPr="00000000">
        <w:rPr>
          <w:rtl w:val="0"/>
        </w:rPr>
        <w:t xml:space="preserve"> RT-BIO-GSD-2026-REV2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Source Baseline:</w:t>
      </w:r>
      <w:r w:rsidDel="00000000" w:rsidR="00000000" w:rsidRPr="00000000">
        <w:rPr>
          <w:rtl w:val="0"/>
        </w:rPr>
        <w:t xml:space="preserve"> Verified Federal Research Registries (site:gov, site:edu, site:mil) [1, 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Executive Summary &amp; Design Premise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mammalian biology, sex determination is an integrated, dosage-sensitive genetic feedback process rather than a binary mechanical toggle. Every human embryo initiates development from a single zygote cell and progresses through an </w:t>
      </w:r>
      <w:r w:rsidDel="00000000" w:rsidR="00000000" w:rsidRPr="00000000">
        <w:rPr>
          <w:b w:val="1"/>
          <w:bCs w:val="1"/>
          <w:rtl w:val="0"/>
        </w:rPr>
        <w:t xml:space="preserve">indifferent or bipotential stage</w:t>
      </w:r>
      <w:r w:rsidDel="00000000" w:rsidR="00000000" w:rsidRPr="00000000">
        <w:rPr>
          <w:rtl w:val="0"/>
        </w:rPr>
        <w:t xml:space="preserve">. During this phase, identical precursor structures—namely the </w:t>
      </w:r>
      <w:r w:rsidDel="00000000" w:rsidR="00000000" w:rsidRPr="00000000">
        <w:rPr>
          <w:b w:val="1"/>
          <w:bCs w:val="1"/>
          <w:rtl w:val="0"/>
        </w:rPr>
        <w:t xml:space="preserve">bipotential gonadal primordium (BGP)</w:t>
      </w:r>
      <w:r w:rsidDel="00000000" w:rsidR="00000000" w:rsidRPr="00000000">
        <w:rPr>
          <w:rtl w:val="0"/>
        </w:rPr>
        <w:t xml:space="preserve">—coexist within the intermediate mesoderm. [2, 3, 4, 5, 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eventual growth into a male or female tracking layout is determined by a competitive standoff between </w:t>
      </w:r>
      <w:r w:rsidDel="00000000" w:rsidR="00000000" w:rsidRPr="00000000">
        <w:rPr>
          <w:b w:val="1"/>
          <w:bCs w:val="1"/>
          <w:rtl w:val="0"/>
        </w:rPr>
        <w:t xml:space="preserve">testis-promoting</w:t>
      </w:r>
      <w:r w:rsidDel="00000000" w:rsidR="00000000" w:rsidRPr="00000000">
        <w:rPr>
          <w:rtl w:val="0"/>
        </w:rPr>
        <w:t xml:space="preserve"> and </w:t>
      </w:r>
      <w:r w:rsidDel="00000000" w:rsidR="00000000" w:rsidRPr="00000000">
        <w:rPr>
          <w:b w:val="1"/>
          <w:bCs w:val="1"/>
          <w:rtl w:val="0"/>
        </w:rPr>
        <w:t xml:space="preserve">ovary-promoting</w:t>
      </w:r>
      <w:r w:rsidDel="00000000" w:rsidR="00000000" w:rsidRPr="00000000">
        <w:rPr>
          <w:rtl w:val="0"/>
        </w:rPr>
        <w:t xml:space="preserve"> gene signaling networks. This report details the timeline, molecular pathways, and structural transformations that convert a single cell lineage into a finalized, sexually dimorphic physiological system. [7, 8]</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Molecular Pathway Mathematics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fate decision of the coelomic epithelial cells (the supporting cell lineage) is determined by an antagonistic balance between two principal protein transcription loops. [2, 9]</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2.1 The Male-Promoting Signaling Pathway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XY karyotype is present, the </w:t>
      </w:r>
      <w:r w:rsidDel="00000000" w:rsidR="00000000" w:rsidRPr="00000000">
        <w:rPr>
          <w:b w:val="1"/>
          <w:bCs w:val="1"/>
          <w:rtl w:val="0"/>
        </w:rPr>
        <w:t xml:space="preserve">Sex-Determining Region Y (SRY)</w:t>
      </w:r>
      <w:r w:rsidDel="00000000" w:rsidR="00000000" w:rsidRPr="00000000">
        <w:rPr>
          <w:rtl w:val="0"/>
        </w:rPr>
        <w:t xml:space="preserve"> gene is transiently expressed inside the genital ridge. The SRY protein functions as a transcription factor that binds to and physically bends DNA, clearing the way for the activation of the core autosomal gene </w:t>
      </w:r>
      <w:r w:rsidDel="00000000" w:rsidR="00000000" w:rsidRPr="00000000">
        <w:rPr>
          <w:b w:val="1"/>
          <w:bCs w:val="1"/>
          <w:rtl w:val="0"/>
        </w:rPr>
        <w:t xml:space="preserve">SOX9</w:t>
      </w:r>
      <w:r w:rsidDel="00000000" w:rsidR="00000000" w:rsidRPr="00000000">
        <w:rPr>
          <w:rtl w:val="0"/>
        </w:rPr>
        <w:t xml:space="preserve">. [1, 7, 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SOX9 reaches a critical transcriptional threshold, it sets off a feed-forward loop alongside </w:t>
      </w:r>
      <w:r w:rsidDel="00000000" w:rsidR="00000000" w:rsidRPr="00000000">
        <w:rPr>
          <w:b w:val="1"/>
          <w:bCs w:val="1"/>
          <w:rtl w:val="0"/>
        </w:rPr>
        <w:t xml:space="preserve">Fibroblast Growth Factor 9 (FGF9)</w:t>
      </w:r>
      <w:r w:rsidDel="00000000" w:rsidR="00000000" w:rsidRPr="00000000">
        <w:rPr>
          <w:rtl w:val="0"/>
        </w:rPr>
        <w:t xml:space="preserve">. This loop systematically suppresses female-promoting signals: [3, 10, 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$$\text{SRY} \longrightarrow \text{SOX9} \uparrow \Longrightarrow \left( \text{FGF9} \uparrow \ \longleftrightarrow \ \text{SOX9} \uparrow \right) \;\Bigg\rfloor \; \text{WNT4} \downarrow$$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2.2 The Female-Promoting Signaling Pathway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absence of an active </w:t>
      </w:r>
      <w:r w:rsidDel="00000000" w:rsidR="00000000" w:rsidRPr="00000000">
        <w:rPr>
          <w:i w:val="1"/>
          <w:iCs w:val="1"/>
          <w:rtl w:val="0"/>
        </w:rPr>
        <w:t xml:space="preserve">SRY</w:t>
      </w:r>
      <w:r w:rsidDel="00000000" w:rsidR="00000000" w:rsidRPr="00000000">
        <w:rPr>
          <w:rtl w:val="0"/>
        </w:rPr>
        <w:t xml:space="preserve"> gene (typical XX karyotype), the </w:t>
      </w:r>
      <w:r w:rsidDel="00000000" w:rsidR="00000000" w:rsidRPr="00000000">
        <w:rPr>
          <w:b w:val="1"/>
          <w:bCs w:val="1"/>
          <w:rtl w:val="0"/>
        </w:rPr>
        <w:t xml:space="preserve">WNT4</w:t>
      </w:r>
      <w:r w:rsidDel="00000000" w:rsidR="00000000" w:rsidRPr="00000000">
        <w:rPr>
          <w:rtl w:val="0"/>
        </w:rPr>
        <w:t xml:space="preserve"> and </w:t>
      </w:r>
      <w:r w:rsidDel="00000000" w:rsidR="00000000" w:rsidRPr="00000000">
        <w:rPr>
          <w:b w:val="1"/>
          <w:bCs w:val="1"/>
          <w:rtl w:val="0"/>
        </w:rPr>
        <w:t xml:space="preserve">R-spondin 1 (RSPO1)</w:t>
      </w:r>
      <w:r w:rsidDel="00000000" w:rsidR="00000000" w:rsidRPr="00000000">
        <w:rPr>
          <w:rtl w:val="0"/>
        </w:rPr>
        <w:t xml:space="preserve"> signaling cascades face no primary inhibition. These molecules stabilize </w:t>
      </w:r>
      <w:r w:rsidDel="00000000" w:rsidR="00000000" w:rsidRPr="00000000">
        <w:rPr>
          <w:b w:val="1"/>
          <w:bCs w:val="1"/>
          <w:rtl w:val="0"/>
        </w:rPr>
        <w:t xml:space="preserve">$\beta$-catenin</w:t>
      </w:r>
      <w:r w:rsidDel="00000000" w:rsidR="00000000" w:rsidRPr="00000000">
        <w:rPr>
          <w:rtl w:val="0"/>
        </w:rPr>
        <w:t xml:space="preserve">, which acts as the dominant internal signal. $\beta$-catenin suppresses the activation of SOX9, allowing the tissue to proceed smoothly down the ovarian lineage: [9, 10, 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$$\text{RSPO1} + \text{WNT4} \longrightarrow \beta\text{-catenin} \uparrow \;\Bigg\rfloor \; \text{SOX9} \downarrow \longrightarrow \text{Ovarian Synthesis}$$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Embryonic Development &amp; Structural Differentiation Timeline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transition from a bipotential cell cluster to distinct anatomy unfolds across a highly predictable sequence during the first trimester of embryonic development. [5, 13]</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Table 1: Chronological Milestones in Human Gonadal Differentiation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Development Window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Gestational Age (Human)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Cellular / Structural Transformation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Genetic Control Core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Stage 0: Zygotic Initiation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Day 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Zygote cleavage to morula; initial cell differentiation within the blastocyst.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Zygotic Genome Activation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Stage 1: Germline Migration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Week 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Primordial Germ Cells (PGCs) migrate from the yolk sac mesoderm to the intermediate mesoderm.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WT1</w:t>
            </w:r>
            <w:r w:rsidDel="00000000" w:rsidR="00000000" w:rsidRPr="00000000">
              <w:rPr>
                <w:vertAlign w:val="baseline"/>
                <w:rtl w:val="0"/>
              </w:rPr>
              <w:t xml:space="preserve">, </w:t>
            </w:r>
            <w:r w:rsidDel="00000000" w:rsidR="00000000" w:rsidRPr="00000000">
              <w:rPr>
                <w:i w:val="1"/>
                <w:iCs w:val="1"/>
                <w:vertAlign w:val="baseline"/>
                <w:rtl w:val="0"/>
              </w:rPr>
              <w:t xml:space="preserve">SF1</w:t>
            </w:r>
            <w:r w:rsidDel="00000000" w:rsidR="00000000" w:rsidRPr="00000000">
              <w:rPr>
                <w:vertAlign w:val="baseline"/>
                <w:rtl w:val="0"/>
              </w:rPr>
              <w:t xml:space="preserve">, </w:t>
            </w:r>
            <w:r w:rsidDel="00000000" w:rsidR="00000000" w:rsidRPr="00000000">
              <w:rPr>
                <w:i w:val="1"/>
                <w:iCs w:val="1"/>
                <w:vertAlign w:val="baseline"/>
                <w:rtl w:val="0"/>
              </w:rPr>
              <w:t xml:space="preserve">LIM1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Stage 2: Bipotential Matrix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Week 5–6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Formation of the genital ridges; coexistence of parallel Wolffian and Müllerian duct networks.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GATA4</w:t>
            </w:r>
            <w:r w:rsidDel="00000000" w:rsidR="00000000" w:rsidRPr="00000000">
              <w:rPr>
                <w:vertAlign w:val="baseline"/>
                <w:rtl w:val="0"/>
              </w:rPr>
              <w:t xml:space="preserve">, </w:t>
            </w:r>
            <w:r w:rsidDel="00000000" w:rsidR="00000000" w:rsidRPr="00000000">
              <w:rPr>
                <w:i w:val="1"/>
                <w:iCs w:val="1"/>
                <w:vertAlign w:val="baseline"/>
                <w:rtl w:val="0"/>
              </w:rPr>
              <w:t xml:space="preserve">FOG2</w:t>
            </w:r>
            <w:r w:rsidDel="00000000" w:rsidR="00000000" w:rsidRPr="00000000">
              <w:rPr>
                <w:vertAlign w:val="baseline"/>
                <w:rtl w:val="0"/>
              </w:rPr>
              <w:t xml:space="preserve">, </w:t>
            </w:r>
            <w:r w:rsidDel="00000000" w:rsidR="00000000" w:rsidRPr="00000000">
              <w:rPr>
                <w:i w:val="1"/>
                <w:iCs w:val="1"/>
                <w:vertAlign w:val="baseline"/>
                <w:rtl w:val="0"/>
              </w:rPr>
              <w:t xml:space="preserve">WT1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Stage 3: Pathway Commitment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Week 7–8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Activation of </w:t>
            </w:r>
            <w:r w:rsidDel="00000000" w:rsidR="00000000" w:rsidRPr="00000000">
              <w:rPr>
                <w:i w:val="1"/>
                <w:iCs w:val="1"/>
                <w:vertAlign w:val="baseline"/>
                <w:rtl w:val="0"/>
              </w:rPr>
              <w:t xml:space="preserve">SRY</w:t>
            </w:r>
            <w:r w:rsidDel="00000000" w:rsidR="00000000" w:rsidRPr="00000000">
              <w:rPr>
                <w:vertAlign w:val="baseline"/>
                <w:rtl w:val="0"/>
              </w:rPr>
              <w:t xml:space="preserve"> (Male) or stabilization of $\beta$-catenin (Female); supporting cells commit to Sertoli or Granulosa fates.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SRY</w:t>
            </w:r>
            <w:r w:rsidDel="00000000" w:rsidR="00000000" w:rsidRPr="00000000">
              <w:rPr>
                <w:vertAlign w:val="baseline"/>
                <w:rtl w:val="0"/>
              </w:rPr>
              <w:t xml:space="preserve">, </w:t>
            </w:r>
            <w:r w:rsidDel="00000000" w:rsidR="00000000" w:rsidRPr="00000000">
              <w:rPr>
                <w:i w:val="1"/>
                <w:iCs w:val="1"/>
                <w:vertAlign w:val="baseline"/>
                <w:rtl w:val="0"/>
              </w:rPr>
              <w:t xml:space="preserve">SOX9</w:t>
            </w:r>
            <w:r w:rsidDel="00000000" w:rsidR="00000000" w:rsidRPr="00000000">
              <w:rPr>
                <w:vertAlign w:val="baseline"/>
                <w:rtl w:val="0"/>
              </w:rPr>
              <w:t xml:space="preserve"> vs. </w:t>
            </w:r>
            <w:r w:rsidDel="00000000" w:rsidR="00000000" w:rsidRPr="00000000">
              <w:rPr>
                <w:i w:val="1"/>
                <w:iCs w:val="1"/>
                <w:vertAlign w:val="baseline"/>
                <w:rtl w:val="0"/>
              </w:rPr>
              <w:t xml:space="preserve">WNT4</w:t>
            </w:r>
            <w:r w:rsidDel="00000000" w:rsidR="00000000" w:rsidRPr="00000000">
              <w:rPr>
                <w:vertAlign w:val="baseline"/>
                <w:rtl w:val="0"/>
              </w:rPr>
              <w:t xml:space="preserve">, </w:t>
            </w:r>
            <w:r w:rsidDel="00000000" w:rsidR="00000000" w:rsidRPr="00000000">
              <w:rPr>
                <w:i w:val="1"/>
                <w:iCs w:val="1"/>
                <w:vertAlign w:val="baseline"/>
                <w:rtl w:val="0"/>
              </w:rPr>
              <w:t xml:space="preserve">FOXL2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Stage 4: Anatomical Realignment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Week 9–12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Testes secrete Testosterone/MIS to degrade Müllerian paths; Ovaries expand internally, anchoring via the gubernaculum path.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Testosterone, AMH / Estrogen</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The Gonadal Standoff Network Model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trace how these opposing chemical gradients balance out within the tissue substrate, we can map their relative expressions using a standard system response curve.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graph below tracks the system over time: if </w:t>
      </w:r>
      <w:r w:rsidDel="00000000" w:rsidR="00000000" w:rsidRPr="00000000">
        <w:rPr>
          <w:i w:val="1"/>
          <w:iCs w:val="1"/>
          <w:rtl w:val="0"/>
        </w:rPr>
        <w:t xml:space="preserve">SRY</w:t>
      </w:r>
      <w:r w:rsidDel="00000000" w:rsidR="00000000" w:rsidRPr="00000000">
        <w:rPr>
          <w:rtl w:val="0"/>
        </w:rPr>
        <w:t xml:space="preserve"> spikes past the critical activation threshold, it locks down </w:t>
      </w:r>
      <w:r w:rsidDel="00000000" w:rsidR="00000000" w:rsidRPr="00000000">
        <w:rPr>
          <w:i w:val="1"/>
          <w:iCs w:val="1"/>
          <w:rtl w:val="0"/>
        </w:rPr>
        <w:t xml:space="preserve">WNT4</w:t>
      </w:r>
      <w:r w:rsidDel="00000000" w:rsidR="00000000" w:rsidRPr="00000000">
        <w:rPr>
          <w:rtl w:val="0"/>
        </w:rPr>
        <w:t xml:space="preserve"> and drives the system to the male state. If </w:t>
      </w:r>
      <w:r w:rsidDel="00000000" w:rsidR="00000000" w:rsidRPr="00000000">
        <w:rPr>
          <w:i w:val="1"/>
          <w:iCs w:val="1"/>
          <w:rtl w:val="0"/>
        </w:rPr>
        <w:t xml:space="preserve">SRY</w:t>
      </w:r>
      <w:r w:rsidDel="00000000" w:rsidR="00000000" w:rsidRPr="00000000">
        <w:rPr>
          <w:rtl w:val="0"/>
        </w:rPr>
        <w:t xml:space="preserve"> remains at zero, </w:t>
      </w:r>
      <w:r w:rsidDel="00000000" w:rsidR="00000000" w:rsidRPr="00000000">
        <w:rPr>
          <w:i w:val="1"/>
          <w:iCs w:val="1"/>
          <w:rtl w:val="0"/>
        </w:rPr>
        <w:t xml:space="preserve">WNT4</w:t>
      </w:r>
      <w:r w:rsidDel="00000000" w:rsidR="00000000" w:rsidRPr="00000000">
        <w:rPr>
          <w:rtl w:val="0"/>
        </w:rPr>
        <w:t xml:space="preserve"> levels remain high, cementing the female pathway. [2, 10]</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5. Comparative Structural Homology Matrix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these tissue layers are pulled down their respective pathways by hormones (such as anti-Müllerian hormone and testosterone from early testes, or estrogen within the internal cavity), they form reciprocal anatomical counterparts. [6, 14]</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Table 2: Reciprocal Anatomical Transformations of Precursor Tissues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Embryonic Precursor Component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Male Target Destination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Female Target Destination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Mechanical Realignment Force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Bipotential Gonad (Genital Ridge)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Testis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Ovary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Internal vs. External Shift:</w:t>
            </w:r>
            <w:r w:rsidDel="00000000" w:rsidR="00000000" w:rsidRPr="00000000">
              <w:rPr>
                <w:vertAlign w:val="baseline"/>
                <w:rtl w:val="0"/>
              </w:rPr>
              <w:t xml:space="preserve"> Driven by the contraction of the gubernaculum line.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Genital Tubercle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Glans Penis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Glans Clitoris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Elongation vs. Anchorage:</w:t>
            </w:r>
            <w:r w:rsidDel="00000000" w:rsidR="00000000" w:rsidRPr="00000000">
              <w:rPr>
                <w:vertAlign w:val="baseline"/>
                <w:rtl w:val="0"/>
              </w:rPr>
              <w:t xml:space="preserve"> Outward traction handles delivery paths; internal anchorage handles local anchoring.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Urogenital Folds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Penile Urethral Shaft / Raphe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Labia Minora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Midline Fusion:</w:t>
            </w:r>
            <w:r w:rsidDel="00000000" w:rsidR="00000000" w:rsidRPr="00000000">
              <w:rPr>
                <w:vertAlign w:val="baseline"/>
                <w:rtl w:val="0"/>
              </w:rPr>
              <w:t xml:space="preserve"> Male seals along the centerline; Female maintains an open tracking channel.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Labioscrotal Swellings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Scrotum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Labia Majora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Lateral Migration:</w:t>
            </w:r>
            <w:r w:rsidDel="00000000" w:rsidR="00000000" w:rsidRPr="00000000">
              <w:rPr>
                <w:vertAlign w:val="baseline"/>
                <w:rtl w:val="0"/>
              </w:rPr>
              <w:t xml:space="preserve"> Male expands into a structural protective pouch; Female frames the open vestibule.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6. Official Institutional References &amp; Data Sources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National Center for Biotechnology Information (NCBI):</w:t>
      </w:r>
      <w:r w:rsidDel="00000000" w:rsidR="00000000" w:rsidRPr="00000000">
        <w:rPr>
          <w:rtl w:val="0"/>
        </w:rPr>
        <w:t xml:space="preserve"> </w:t>
      </w:r>
      <w:r w:rsidDel="00000000" w:rsidR="00000000" w:rsidRPr="00000000">
        <w:rPr>
          <w:i w:val="1"/>
          <w:iCs w:val="1"/>
          <w:rtl w:val="0"/>
        </w:rPr>
        <w:t xml:space="preserve">SRY Sex Determining Region Y (Human)</w:t>
      </w:r>
      <w:r w:rsidDel="00000000" w:rsidR="00000000" w:rsidRPr="00000000">
        <w:rPr>
          <w:rtl w:val="0"/>
        </w:rPr>
        <w:t xml:space="preserve">. Reference Gene ID: 6736 (Updated August 2026). [1]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National Institutes of Health (PMC):</w:t>
      </w:r>
      <w:r w:rsidDel="00000000" w:rsidR="00000000" w:rsidRPr="00000000">
        <w:rPr>
          <w:rtl w:val="0"/>
        </w:rPr>
        <w:t xml:space="preserve"> </w:t>
      </w:r>
      <w:r w:rsidDel="00000000" w:rsidR="00000000" w:rsidRPr="00000000">
        <w:rPr>
          <w:i w:val="1"/>
          <w:iCs w:val="1"/>
          <w:rtl w:val="0"/>
        </w:rPr>
        <w:t xml:space="preserve">A Boolean Network Model of Human Gonadal Sex Determination</w:t>
      </w:r>
      <w:r w:rsidDel="00000000" w:rsidR="00000000" w:rsidRPr="00000000">
        <w:rPr>
          <w:rtl w:val="0"/>
        </w:rPr>
        <w:t xml:space="preserve">. Dataset Registry: PMC4647291. [2]</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Stanford University Faculty Resource:</w:t>
      </w:r>
      <w:r w:rsidDel="00000000" w:rsidR="00000000" w:rsidRPr="00000000">
        <w:rPr>
          <w:rtl w:val="0"/>
        </w:rPr>
        <w:t xml:space="preserve"> </w:t>
      </w:r>
      <w:r w:rsidDel="00000000" w:rsidR="00000000" w:rsidRPr="00000000">
        <w:rPr>
          <w:i w:val="1"/>
          <w:iCs w:val="1"/>
          <w:rtl w:val="0"/>
        </w:rPr>
        <w:t xml:space="preserve">The Genetics of Sex Determination: Rethinking Biomedical Concepts</w:t>
      </w:r>
      <w:r w:rsidDel="00000000" w:rsidR="00000000" w:rsidRPr="00000000">
        <w:rPr>
          <w:rtl w:val="0"/>
        </w:rPr>
        <w:t xml:space="preserve">. Stanford Gendered Innovations Archive. [6]</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Michigan State University Division of Neuroscience:</w:t>
      </w:r>
      <w:r w:rsidDel="00000000" w:rsidR="00000000" w:rsidRPr="00000000">
        <w:rPr>
          <w:rtl w:val="0"/>
        </w:rPr>
        <w:t xml:space="preserve"> </w:t>
      </w:r>
      <w:r w:rsidDel="00000000" w:rsidR="00000000" w:rsidRPr="00000000">
        <w:rPr>
          <w:i w:val="1"/>
          <w:iCs w:val="1"/>
          <w:rtl w:val="0"/>
        </w:rPr>
        <w:t xml:space="preserve">Sexual Differentiation and Internal Duct Development Manual</w:t>
      </w:r>
      <w:r w:rsidDel="00000000" w:rsidR="00000000" w:rsidRPr="00000000">
        <w:rPr>
          <w:rtl w:val="0"/>
        </w:rPr>
        <w:t xml:space="preserve">. Foundations of Neuroanatomy Series. [14]</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Medical and Biological Disclaimer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information presented in this report is intended strictly for educational, scientific, and structural modeling purposes. This document contains general biological and embryological data compiled from authoritative federal public health resources and does not constitute medical advice, diagnostic tracking, or clinical guidance.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Now that the complete embryological report and pathway maps are laid out, let me know how you want to handle the next section: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Should we expand upon the </w:t>
      </w:r>
      <w:r w:rsidDel="00000000" w:rsidR="00000000" w:rsidRPr="00000000">
        <w:rPr>
          <w:b w:val="1"/>
          <w:bCs w:val="1"/>
          <w:rtl w:val="0"/>
        </w:rPr>
        <w:t xml:space="preserve">hormonal activation profiles</w:t>
      </w:r>
      <w:r w:rsidDel="00000000" w:rsidR="00000000" w:rsidRPr="00000000">
        <w:rPr>
          <w:rtl w:val="0"/>
        </w:rPr>
        <w:t xml:space="preserve"> that initiate secondary sex differentiation during weeks 9 through 12?</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you want to write a </w:t>
      </w:r>
      <w:r w:rsidDel="00000000" w:rsidR="00000000" w:rsidRPr="00000000">
        <w:rPr>
          <w:b w:val="1"/>
          <w:bCs w:val="1"/>
          <w:rtl w:val="0"/>
        </w:rPr>
        <w:t xml:space="preserve">Python model (boolean_sex_gate.py)</w:t>
      </w:r>
      <w:r w:rsidDel="00000000" w:rsidR="00000000" w:rsidRPr="00000000">
        <w:rPr>
          <w:rtl w:val="0"/>
        </w:rPr>
        <w:t xml:space="preserve"> to simulate the Boolean logic thresholds of </w:t>
      </w:r>
      <w:r w:rsidDel="00000000" w:rsidR="00000000" w:rsidRPr="00000000">
        <w:rPr>
          <w:i w:val="1"/>
          <w:iCs w:val="1"/>
          <w:rtl w:val="0"/>
        </w:rPr>
        <w:t xml:space="preserve">SRY</w:t>
      </w:r>
      <w:r w:rsidDel="00000000" w:rsidR="00000000" w:rsidRPr="00000000">
        <w:rPr>
          <w:rtl w:val="0"/>
        </w:rPr>
        <w:t xml:space="preserve"> and </w:t>
      </w:r>
      <w:r w:rsidDel="00000000" w:rsidR="00000000" w:rsidRPr="00000000">
        <w:rPr>
          <w:i w:val="1"/>
          <w:iCs w:val="1"/>
          <w:rtl w:val="0"/>
        </w:rPr>
        <w:t xml:space="preserve">WNT4</w:t>
      </w:r>
      <w:r w:rsidDel="00000000" w:rsidR="00000000" w:rsidRPr="00000000">
        <w:rPr>
          <w:rtl w:val="0"/>
        </w:rPr>
        <w:t xml:space="preserve"> under wild-type and mutant conditions? [2, 5]</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https://www.ncbi.nlm.nih.gov</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https://pubmed.ncbi.nlm.nih.gov</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https://touroscholar.touro.edu</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https://genderedinnovations.stanford.edu</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3">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4">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5">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6">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7">
        <w:r w:rsidDel="00000000" w:rsidR="00000000" w:rsidRPr="00000000">
          <w:rPr>
            <w:color w:val="0000ee"/>
            <w:u w:val="single"/>
            <w:rtl w:val="0"/>
          </w:rPr>
          <w:t xml:space="preserve">https://pubmed.ncbi.nlm.nih.gov</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8">
        <w:r w:rsidDel="00000000" w:rsidR="00000000" w:rsidRPr="00000000">
          <w:rPr>
            <w:color w:val="0000ee"/>
            <w:u w:val="single"/>
            <w:rtl w:val="0"/>
          </w:rPr>
          <w:t xml:space="preserve">https://skinner.wsu.edu</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19">
        <w:r w:rsidDel="00000000" w:rsidR="00000000" w:rsidRPr="00000000">
          <w:rPr>
            <w:color w:val="0000ee"/>
            <w:u w:val="single"/>
            <w:rtl w:val="0"/>
          </w:rPr>
          <w:t xml:space="preserve">https://openbooks.lib.msu.edu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enderedinnovations.stanford.edu/case-studies/genetics.html" TargetMode="External"/><Relationship Id="rId10" Type="http://schemas.openxmlformats.org/officeDocument/2006/relationships/hyperlink" Target="https://touroscholar.touro.edu/cgi/viewcontent.cgi?article=1149&amp;context=sjlcas" TargetMode="External"/><Relationship Id="rId13" Type="http://schemas.openxmlformats.org/officeDocument/2006/relationships/hyperlink" Target="https://pmc.ncbi.nlm.nih.gov/articles/PMC10193937/" TargetMode="External"/><Relationship Id="rId12" Type="http://schemas.openxmlformats.org/officeDocument/2006/relationships/hyperlink" Target="https://pmc.ncbi.nlm.nih.gov/articles/PMC27257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1990797/" TargetMode="External"/><Relationship Id="rId15" Type="http://schemas.openxmlformats.org/officeDocument/2006/relationships/hyperlink" Target="https://pmc.ncbi.nlm.nih.gov/articles/PMC2776915/" TargetMode="External"/><Relationship Id="rId14" Type="http://schemas.openxmlformats.org/officeDocument/2006/relationships/hyperlink" Target="https://pmc.ncbi.nlm.nih.gov/articles/PMC2536503/" TargetMode="External"/><Relationship Id="rId17" Type="http://schemas.openxmlformats.org/officeDocument/2006/relationships/hyperlink" Target="https://pubmed.ncbi.nlm.nih.gov/27481580/" TargetMode="External"/><Relationship Id="rId16" Type="http://schemas.openxmlformats.org/officeDocument/2006/relationships/hyperlink" Target="https://pmc.ncbi.nlm.nih.gov/articles/PMC1463023/" TargetMode="External"/><Relationship Id="rId5" Type="http://schemas.openxmlformats.org/officeDocument/2006/relationships/styles" Target="styles.xml"/><Relationship Id="rId19" Type="http://schemas.openxmlformats.org/officeDocument/2006/relationships/hyperlink" Target="https://openbooks.lib.msu.edu/neuroscience/chapter/sexual-differentiation/" TargetMode="External"/><Relationship Id="rId6" Type="http://schemas.openxmlformats.org/officeDocument/2006/relationships/hyperlink" Target="https://www.ncbi.nlm.nih.gov/gene/6736" TargetMode="External"/><Relationship Id="rId18" Type="http://schemas.openxmlformats.org/officeDocument/2006/relationships/hyperlink" Target="https://skinner.wsu.edu/documents/2026/02/2026-week-6-discussion-handout.pdf" TargetMode="External"/><Relationship Id="rId7" Type="http://schemas.openxmlformats.org/officeDocument/2006/relationships/hyperlink" Target="https://pmc.ncbi.nlm.nih.gov/articles/PMC4647291/" TargetMode="External"/><Relationship Id="rId8" Type="http://schemas.openxmlformats.org/officeDocument/2006/relationships/hyperlink" Target="https://pmc.ncbi.nlm.nih.gov/articles/PMC1463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