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7B54C" w14:textId="77777777" w:rsidR="0047592D" w:rsidRDefault="0047592D" w:rsidP="0047592D">
      <w:pPr>
        <w:pStyle w:val="Heading2"/>
        <w:rPr>
          <w:color w:val="000000"/>
        </w:rPr>
      </w:pPr>
      <w:r>
        <w:rPr>
          <w:color w:val="000000"/>
        </w:rPr>
        <w:t>Bookkeeping Services – Quantum’s Structured, Control-Driven Approach</w:t>
      </w:r>
    </w:p>
    <w:p w14:paraId="1023EDE4" w14:textId="77777777" w:rsidR="0047592D" w:rsidRDefault="0047592D" w:rsidP="0047592D">
      <w:pPr>
        <w:pStyle w:val="NormalWeb"/>
        <w:rPr>
          <w:color w:val="000000"/>
        </w:rPr>
      </w:pPr>
      <w:r>
        <w:rPr>
          <w:color w:val="000000"/>
        </w:rPr>
        <w:t>Bookkeeping Services provide a disciplined financial foundation through consistent transaction processing, reconciliation, and reporting. When books are late, inconsistent, or poorly structured, compliance risk increases and decisions rely on unreliable data. Quantum delivers governance-first bookkeeping grounded in Clarity, Consistency, Compliance, Communication, Control, and Comprehensiveness—built on review-driven controls, traceability, and scalable structure. The outcome is clean, timely financials that support audit defensibility, tax readiness, and operational clarity.</w:t>
      </w:r>
    </w:p>
    <w:p w14:paraId="4D6A058A" w14:textId="77777777" w:rsidR="0047592D" w:rsidRDefault="00B4266C" w:rsidP="0047592D">
      <w:r>
        <w:rPr>
          <w:noProof/>
        </w:rPr>
        <w:pict w14:anchorId="15CC153B">
          <v:rect id="_x0000_i1031" alt="" style="width:398.75pt;height:.05pt;mso-width-percent:0;mso-height-percent:0;mso-width-percent:0;mso-height-percent:0" o:hrpct="852" o:hralign="center" o:hrstd="t" o:hr="t" fillcolor="#a0a0a0" stroked="f"/>
        </w:pict>
      </w:r>
    </w:p>
    <w:p w14:paraId="7763646F" w14:textId="77777777" w:rsidR="0047592D" w:rsidRDefault="0047592D" w:rsidP="0047592D">
      <w:pPr>
        <w:pStyle w:val="Heading2"/>
        <w:rPr>
          <w:color w:val="000000"/>
        </w:rPr>
      </w:pPr>
      <w:r>
        <w:rPr>
          <w:color w:val="000000"/>
        </w:rPr>
        <w:t>Service Cards (Website Tiles)</w:t>
      </w:r>
    </w:p>
    <w:p w14:paraId="3B10E658" w14:textId="77777777" w:rsidR="0047592D" w:rsidRDefault="0047592D" w:rsidP="0047592D">
      <w:pPr>
        <w:pStyle w:val="Heading3"/>
        <w:rPr>
          <w:color w:val="000000"/>
        </w:rPr>
      </w:pPr>
      <w:r>
        <w:rPr>
          <w:color w:val="000000"/>
        </w:rPr>
        <w:t>Card 1 — Business &amp; Accounting Discovery</w:t>
      </w:r>
    </w:p>
    <w:p w14:paraId="126186BA" w14:textId="6C4AA3BD" w:rsidR="0047592D" w:rsidRDefault="0047592D" w:rsidP="0047592D">
      <w:pPr>
        <w:pStyle w:val="NormalWeb"/>
        <w:rPr>
          <w:color w:val="000000"/>
        </w:rPr>
      </w:pPr>
      <w:r>
        <w:rPr>
          <w:color w:val="000000"/>
        </w:rPr>
        <w:t>We start by understanding how the business runs—how revenue is earned, how expenses flow, and what transaction volume and complexity look like. This phase establishes clear boundaries, expectations, and accountability so the bookkeeping process runs consistently and predictably.</w:t>
      </w:r>
    </w:p>
    <w:p w14:paraId="427A4F5C" w14:textId="77777777" w:rsidR="0047592D" w:rsidRDefault="0047592D" w:rsidP="0047592D">
      <w:pPr>
        <w:pStyle w:val="NormalWeb"/>
        <w:rPr>
          <w:color w:val="000000"/>
        </w:rPr>
      </w:pPr>
      <w:r>
        <w:rPr>
          <w:rStyle w:val="Strong"/>
          <w:color w:val="000000"/>
        </w:rPr>
        <w:t>Key Activities</w:t>
      </w:r>
    </w:p>
    <w:p w14:paraId="69434254" w14:textId="77777777" w:rsidR="0047592D" w:rsidRDefault="0047592D" w:rsidP="0047592D">
      <w:pPr>
        <w:pStyle w:val="NormalWeb"/>
        <w:numPr>
          <w:ilvl w:val="0"/>
          <w:numId w:val="10"/>
        </w:numPr>
        <w:rPr>
          <w:color w:val="000000"/>
        </w:rPr>
      </w:pPr>
      <w:r>
        <w:rPr>
          <w:color w:val="000000"/>
        </w:rPr>
        <w:t>Understand the operating model, revenue streams, expense flows, and transaction volume</w:t>
      </w:r>
    </w:p>
    <w:p w14:paraId="54547C69" w14:textId="77777777" w:rsidR="0047592D" w:rsidRDefault="0047592D" w:rsidP="0047592D">
      <w:pPr>
        <w:pStyle w:val="NormalWeb"/>
        <w:numPr>
          <w:ilvl w:val="0"/>
          <w:numId w:val="10"/>
        </w:numPr>
        <w:rPr>
          <w:color w:val="000000"/>
        </w:rPr>
      </w:pPr>
      <w:r>
        <w:rPr>
          <w:color w:val="000000"/>
        </w:rPr>
        <w:t>Identify accounting complexity, risk areas, and reporting requirements</w:t>
      </w:r>
    </w:p>
    <w:p w14:paraId="4835B790" w14:textId="77777777" w:rsidR="0047592D" w:rsidRDefault="0047592D" w:rsidP="0047592D">
      <w:pPr>
        <w:pStyle w:val="NormalWeb"/>
        <w:numPr>
          <w:ilvl w:val="0"/>
          <w:numId w:val="10"/>
        </w:numPr>
        <w:rPr>
          <w:color w:val="000000"/>
        </w:rPr>
      </w:pPr>
      <w:r>
        <w:rPr>
          <w:color w:val="000000"/>
        </w:rPr>
        <w:t>Align cadence, scope boundaries, and responsibilities</w:t>
      </w:r>
    </w:p>
    <w:p w14:paraId="4FCFECF9" w14:textId="77777777" w:rsidR="0047592D" w:rsidRDefault="0047592D" w:rsidP="0047592D">
      <w:pPr>
        <w:pStyle w:val="NormalWeb"/>
        <w:rPr>
          <w:color w:val="000000"/>
        </w:rPr>
      </w:pPr>
      <w:r>
        <w:rPr>
          <w:rStyle w:val="Strong"/>
          <w:color w:val="000000"/>
        </w:rPr>
        <w:t>Why It Matters</w:t>
      </w:r>
    </w:p>
    <w:p w14:paraId="76C2E83E" w14:textId="77777777" w:rsidR="0047592D" w:rsidRDefault="0047592D" w:rsidP="0047592D">
      <w:pPr>
        <w:pStyle w:val="NormalWeb"/>
        <w:numPr>
          <w:ilvl w:val="0"/>
          <w:numId w:val="11"/>
        </w:numPr>
        <w:rPr>
          <w:color w:val="000000"/>
        </w:rPr>
      </w:pPr>
      <w:r>
        <w:rPr>
          <w:color w:val="000000"/>
        </w:rPr>
        <w:t>Prevents misclassification and downstream corrections</w:t>
      </w:r>
    </w:p>
    <w:p w14:paraId="2E547FEC" w14:textId="77777777" w:rsidR="0047592D" w:rsidRDefault="0047592D" w:rsidP="0047592D">
      <w:pPr>
        <w:pStyle w:val="NormalWeb"/>
        <w:numPr>
          <w:ilvl w:val="0"/>
          <w:numId w:val="11"/>
        </w:numPr>
        <w:rPr>
          <w:color w:val="000000"/>
        </w:rPr>
      </w:pPr>
      <w:r>
        <w:rPr>
          <w:color w:val="000000"/>
        </w:rPr>
        <w:t>Improves consistency by setting clear expectations upfront</w:t>
      </w:r>
    </w:p>
    <w:p w14:paraId="7ABC3BB3" w14:textId="77777777" w:rsidR="0047592D" w:rsidRDefault="0047592D" w:rsidP="0047592D">
      <w:pPr>
        <w:pStyle w:val="NormalWeb"/>
        <w:numPr>
          <w:ilvl w:val="0"/>
          <w:numId w:val="11"/>
        </w:numPr>
        <w:rPr>
          <w:color w:val="000000"/>
        </w:rPr>
      </w:pPr>
      <w:r>
        <w:rPr>
          <w:color w:val="000000"/>
        </w:rPr>
        <w:t>Creates a foundation for reliable reporting and control</w:t>
      </w:r>
    </w:p>
    <w:p w14:paraId="224B405C" w14:textId="77777777" w:rsidR="0047592D" w:rsidRDefault="00B4266C" w:rsidP="0047592D">
      <w:r>
        <w:rPr>
          <w:noProof/>
        </w:rPr>
        <w:pict w14:anchorId="551FA621">
          <v:rect id="_x0000_i1030" alt="" style="width:431.95pt;height:.05pt;mso-width-percent:0;mso-height-percent:0;mso-width-percent:0;mso-height-percent:0" o:hrpct="923" o:hralign="center" o:hrstd="t" o:hr="t" fillcolor="#a0a0a0" stroked="f"/>
        </w:pict>
      </w:r>
    </w:p>
    <w:p w14:paraId="3BF0C657" w14:textId="77777777" w:rsidR="0047592D" w:rsidRDefault="0047592D" w:rsidP="0047592D">
      <w:pPr>
        <w:pStyle w:val="Heading3"/>
        <w:rPr>
          <w:color w:val="000000"/>
        </w:rPr>
      </w:pPr>
      <w:r>
        <w:rPr>
          <w:color w:val="000000"/>
        </w:rPr>
        <w:t>Card 2 — Accounting Framework &amp; Chart of Accounts Design</w:t>
      </w:r>
    </w:p>
    <w:p w14:paraId="1EF5C4EF" w14:textId="59E60E1A" w:rsidR="0047592D" w:rsidRDefault="0047592D" w:rsidP="0047592D">
      <w:pPr>
        <w:pStyle w:val="NormalWeb"/>
        <w:rPr>
          <w:color w:val="000000"/>
        </w:rPr>
      </w:pPr>
      <w:r>
        <w:rPr>
          <w:color w:val="000000"/>
        </w:rPr>
        <w:t>Quantum designs or refines the chart of accounts to match operational reality and reporting needs. Classification rules and documentation expectations are standardized to create a scalable structure that remains consistent as activity expands.</w:t>
      </w:r>
    </w:p>
    <w:p w14:paraId="5590C9AF" w14:textId="77777777" w:rsidR="0047592D" w:rsidRDefault="0047592D" w:rsidP="0047592D">
      <w:pPr>
        <w:pStyle w:val="NormalWeb"/>
        <w:rPr>
          <w:color w:val="000000"/>
        </w:rPr>
      </w:pPr>
      <w:r>
        <w:rPr>
          <w:rStyle w:val="Strong"/>
          <w:color w:val="000000"/>
        </w:rPr>
        <w:t>Key Activities</w:t>
      </w:r>
    </w:p>
    <w:p w14:paraId="2E9615A4" w14:textId="77777777" w:rsidR="0047592D" w:rsidRDefault="0047592D" w:rsidP="0047592D">
      <w:pPr>
        <w:pStyle w:val="NormalWeb"/>
        <w:numPr>
          <w:ilvl w:val="0"/>
          <w:numId w:val="12"/>
        </w:numPr>
        <w:rPr>
          <w:color w:val="000000"/>
        </w:rPr>
      </w:pPr>
      <w:r>
        <w:rPr>
          <w:color w:val="000000"/>
        </w:rPr>
        <w:lastRenderedPageBreak/>
        <w:t>Design or refine the chart of accounts to match operating reality and reporting needs</w:t>
      </w:r>
    </w:p>
    <w:p w14:paraId="4EC910F7" w14:textId="77777777" w:rsidR="0047592D" w:rsidRDefault="0047592D" w:rsidP="0047592D">
      <w:pPr>
        <w:pStyle w:val="NormalWeb"/>
        <w:numPr>
          <w:ilvl w:val="0"/>
          <w:numId w:val="12"/>
        </w:numPr>
        <w:rPr>
          <w:color w:val="000000"/>
        </w:rPr>
      </w:pPr>
      <w:r>
        <w:rPr>
          <w:color w:val="000000"/>
        </w:rPr>
        <w:t>Define consistent classification rules and documentation expectations</w:t>
      </w:r>
    </w:p>
    <w:p w14:paraId="129CAC26" w14:textId="77777777" w:rsidR="0047592D" w:rsidRDefault="0047592D" w:rsidP="0047592D">
      <w:pPr>
        <w:pStyle w:val="NormalWeb"/>
        <w:numPr>
          <w:ilvl w:val="0"/>
          <w:numId w:val="12"/>
        </w:numPr>
        <w:rPr>
          <w:color w:val="000000"/>
        </w:rPr>
      </w:pPr>
      <w:r>
        <w:rPr>
          <w:color w:val="000000"/>
        </w:rPr>
        <w:t>Align structure to support scalability as the business grows</w:t>
      </w:r>
    </w:p>
    <w:p w14:paraId="1F84EE2C" w14:textId="77777777" w:rsidR="0047592D" w:rsidRDefault="0047592D" w:rsidP="0047592D">
      <w:pPr>
        <w:pStyle w:val="NormalWeb"/>
        <w:rPr>
          <w:color w:val="000000"/>
        </w:rPr>
      </w:pPr>
      <w:r>
        <w:rPr>
          <w:rStyle w:val="Strong"/>
          <w:color w:val="000000"/>
        </w:rPr>
        <w:t>Why It Matters</w:t>
      </w:r>
    </w:p>
    <w:p w14:paraId="49B1C295" w14:textId="77777777" w:rsidR="0047592D" w:rsidRDefault="0047592D" w:rsidP="0047592D">
      <w:pPr>
        <w:pStyle w:val="NormalWeb"/>
        <w:numPr>
          <w:ilvl w:val="0"/>
          <w:numId w:val="13"/>
        </w:numPr>
        <w:rPr>
          <w:color w:val="000000"/>
        </w:rPr>
      </w:pPr>
      <w:r>
        <w:rPr>
          <w:color w:val="000000"/>
        </w:rPr>
        <w:t>Improves clarity and usefulness of financial statements</w:t>
      </w:r>
    </w:p>
    <w:p w14:paraId="4382BB99" w14:textId="77777777" w:rsidR="0047592D" w:rsidRDefault="0047592D" w:rsidP="0047592D">
      <w:pPr>
        <w:pStyle w:val="NormalWeb"/>
        <w:numPr>
          <w:ilvl w:val="0"/>
          <w:numId w:val="13"/>
        </w:numPr>
        <w:rPr>
          <w:color w:val="000000"/>
        </w:rPr>
      </w:pPr>
      <w:r>
        <w:rPr>
          <w:color w:val="000000"/>
        </w:rPr>
        <w:t>Reduces rework during tax preparation, audits, or financing requests</w:t>
      </w:r>
    </w:p>
    <w:p w14:paraId="0963C4E3" w14:textId="77777777" w:rsidR="0047592D" w:rsidRDefault="0047592D" w:rsidP="0047592D">
      <w:pPr>
        <w:pStyle w:val="NormalWeb"/>
        <w:numPr>
          <w:ilvl w:val="0"/>
          <w:numId w:val="13"/>
        </w:numPr>
        <w:rPr>
          <w:color w:val="000000"/>
        </w:rPr>
      </w:pPr>
      <w:r>
        <w:rPr>
          <w:color w:val="000000"/>
        </w:rPr>
        <w:t>Enables comparable reporting over time</w:t>
      </w:r>
    </w:p>
    <w:p w14:paraId="5384E5F2" w14:textId="77777777" w:rsidR="0047592D" w:rsidRDefault="00B4266C" w:rsidP="0047592D">
      <w:r>
        <w:rPr>
          <w:noProof/>
        </w:rPr>
        <w:pict w14:anchorId="08FF2966">
          <v:rect id="_x0000_i1029" alt="" style="width:431.95pt;height:.05pt;mso-width-percent:0;mso-height-percent:0;mso-width-percent:0;mso-height-percent:0" o:hrpct="923" o:hralign="center" o:hrstd="t" o:hr="t" fillcolor="#a0a0a0" stroked="f"/>
        </w:pict>
      </w:r>
    </w:p>
    <w:p w14:paraId="2C765892" w14:textId="77777777" w:rsidR="0047592D" w:rsidRDefault="0047592D" w:rsidP="0047592D">
      <w:pPr>
        <w:pStyle w:val="Heading3"/>
        <w:rPr>
          <w:color w:val="000000"/>
        </w:rPr>
      </w:pPr>
      <w:r>
        <w:rPr>
          <w:color w:val="000000"/>
        </w:rPr>
        <w:t>Card 3 — Secure Data Intake &amp; Transaction Processing</w:t>
      </w:r>
    </w:p>
    <w:p w14:paraId="5330A2D8" w14:textId="4E302FAA" w:rsidR="0047592D" w:rsidRDefault="0047592D" w:rsidP="0047592D">
      <w:pPr>
        <w:pStyle w:val="NormalWeb"/>
        <w:rPr>
          <w:color w:val="000000"/>
        </w:rPr>
      </w:pPr>
      <w:r>
        <w:rPr>
          <w:color w:val="000000"/>
        </w:rPr>
        <w:t>We establish a controlled intake process for banking, cards, and source documents, then process and classify transactions using standardized rules and review checkpoints. Where payables/receivables support is included, approvals and responsibilities are clearly defined to maintain control and traceability.</w:t>
      </w:r>
    </w:p>
    <w:p w14:paraId="0BE40F17" w14:textId="77777777" w:rsidR="0047592D" w:rsidRDefault="0047592D" w:rsidP="0047592D">
      <w:pPr>
        <w:pStyle w:val="NormalWeb"/>
        <w:rPr>
          <w:color w:val="000000"/>
        </w:rPr>
      </w:pPr>
      <w:r>
        <w:rPr>
          <w:rStyle w:val="Strong"/>
          <w:color w:val="000000"/>
        </w:rPr>
        <w:t>Key Activities</w:t>
      </w:r>
    </w:p>
    <w:p w14:paraId="472397EF" w14:textId="77777777" w:rsidR="0047592D" w:rsidRDefault="0047592D" w:rsidP="0047592D">
      <w:pPr>
        <w:pStyle w:val="NormalWeb"/>
        <w:numPr>
          <w:ilvl w:val="0"/>
          <w:numId w:val="14"/>
        </w:numPr>
        <w:rPr>
          <w:color w:val="000000"/>
        </w:rPr>
      </w:pPr>
      <w:r>
        <w:rPr>
          <w:color w:val="000000"/>
        </w:rPr>
        <w:t>Establish controlled intake for bank, card, and source documentation</w:t>
      </w:r>
    </w:p>
    <w:p w14:paraId="3B88769A" w14:textId="77777777" w:rsidR="0047592D" w:rsidRDefault="0047592D" w:rsidP="0047592D">
      <w:pPr>
        <w:pStyle w:val="NormalWeb"/>
        <w:numPr>
          <w:ilvl w:val="0"/>
          <w:numId w:val="14"/>
        </w:numPr>
        <w:rPr>
          <w:color w:val="000000"/>
        </w:rPr>
      </w:pPr>
      <w:r>
        <w:rPr>
          <w:color w:val="000000"/>
        </w:rPr>
        <w:t>Process and classify transactions using standardized rules and reviews</w:t>
      </w:r>
    </w:p>
    <w:p w14:paraId="7D3AD66C" w14:textId="77777777" w:rsidR="0047592D" w:rsidRDefault="0047592D" w:rsidP="0047592D">
      <w:pPr>
        <w:pStyle w:val="NormalWeb"/>
        <w:numPr>
          <w:ilvl w:val="0"/>
          <w:numId w:val="14"/>
        </w:numPr>
        <w:rPr>
          <w:color w:val="000000"/>
        </w:rPr>
      </w:pPr>
      <w:r>
        <w:rPr>
          <w:color w:val="000000"/>
        </w:rPr>
        <w:t>Support payables/receivables activities as scoped with defined approvals</w:t>
      </w:r>
    </w:p>
    <w:p w14:paraId="5540DD53" w14:textId="77777777" w:rsidR="0047592D" w:rsidRDefault="0047592D" w:rsidP="0047592D">
      <w:pPr>
        <w:pStyle w:val="NormalWeb"/>
        <w:rPr>
          <w:color w:val="000000"/>
        </w:rPr>
      </w:pPr>
      <w:r>
        <w:rPr>
          <w:rStyle w:val="Strong"/>
          <w:color w:val="000000"/>
        </w:rPr>
        <w:t>Why It Matters</w:t>
      </w:r>
    </w:p>
    <w:p w14:paraId="3477AF2A" w14:textId="77777777" w:rsidR="0047592D" w:rsidRDefault="0047592D" w:rsidP="0047592D">
      <w:pPr>
        <w:pStyle w:val="NormalWeb"/>
        <w:numPr>
          <w:ilvl w:val="0"/>
          <w:numId w:val="15"/>
        </w:numPr>
        <w:rPr>
          <w:color w:val="000000"/>
        </w:rPr>
      </w:pPr>
      <w:r>
        <w:rPr>
          <w:color w:val="000000"/>
        </w:rPr>
        <w:t>Reduces manual errors and improves repeatability</w:t>
      </w:r>
    </w:p>
    <w:p w14:paraId="6E87BB51" w14:textId="77777777" w:rsidR="0047592D" w:rsidRDefault="0047592D" w:rsidP="0047592D">
      <w:pPr>
        <w:pStyle w:val="NormalWeb"/>
        <w:numPr>
          <w:ilvl w:val="0"/>
          <w:numId w:val="15"/>
        </w:numPr>
        <w:rPr>
          <w:color w:val="000000"/>
        </w:rPr>
      </w:pPr>
      <w:r>
        <w:rPr>
          <w:color w:val="000000"/>
        </w:rPr>
        <w:t>Creates an audit-ready transaction trail</w:t>
      </w:r>
    </w:p>
    <w:p w14:paraId="682A0331" w14:textId="77777777" w:rsidR="0047592D" w:rsidRDefault="0047592D" w:rsidP="0047592D">
      <w:pPr>
        <w:pStyle w:val="NormalWeb"/>
        <w:numPr>
          <w:ilvl w:val="0"/>
          <w:numId w:val="15"/>
        </w:numPr>
        <w:rPr>
          <w:color w:val="000000"/>
        </w:rPr>
      </w:pPr>
      <w:r>
        <w:rPr>
          <w:color w:val="000000"/>
        </w:rPr>
        <w:t>Improves timeliness of reporting and cash visibility</w:t>
      </w:r>
    </w:p>
    <w:p w14:paraId="2EC956E1" w14:textId="77777777" w:rsidR="0047592D" w:rsidRDefault="00B4266C" w:rsidP="0047592D">
      <w:r>
        <w:rPr>
          <w:noProof/>
        </w:rPr>
        <w:pict w14:anchorId="522E91BF">
          <v:rect id="_x0000_i1028" alt="" style="width:431.95pt;height:.05pt;mso-width-percent:0;mso-height-percent:0;mso-width-percent:0;mso-height-percent:0" o:hrpct="923" o:hralign="center" o:hrstd="t" o:hr="t" fillcolor="#a0a0a0" stroked="f"/>
        </w:pict>
      </w:r>
    </w:p>
    <w:p w14:paraId="7D16B4AD" w14:textId="77777777" w:rsidR="0047592D" w:rsidRDefault="0047592D" w:rsidP="0047592D">
      <w:pPr>
        <w:pStyle w:val="Heading3"/>
        <w:rPr>
          <w:color w:val="000000"/>
        </w:rPr>
      </w:pPr>
      <w:r>
        <w:rPr>
          <w:color w:val="000000"/>
        </w:rPr>
        <w:t>Card 4 — Monthly Reconciliation &amp; Quality Controls</w:t>
      </w:r>
    </w:p>
    <w:p w14:paraId="6B1E40DD" w14:textId="2E93BCA5" w:rsidR="0047592D" w:rsidRDefault="0047592D" w:rsidP="0047592D">
      <w:pPr>
        <w:pStyle w:val="NormalWeb"/>
        <w:rPr>
          <w:color w:val="000000"/>
        </w:rPr>
      </w:pPr>
      <w:r>
        <w:rPr>
          <w:color w:val="000000"/>
        </w:rPr>
        <w:t>Each cycle, Quantum reconciles bank, credit card, and key balance sheet accounts, then investigates variances and exceptions for timely resolution. A consistent close checklist and documentation discipline create repeatable quality and defensible results.</w:t>
      </w:r>
    </w:p>
    <w:p w14:paraId="02AB4D68" w14:textId="77777777" w:rsidR="0047592D" w:rsidRDefault="0047592D" w:rsidP="0047592D">
      <w:pPr>
        <w:pStyle w:val="NormalWeb"/>
        <w:rPr>
          <w:color w:val="000000"/>
        </w:rPr>
      </w:pPr>
      <w:r>
        <w:rPr>
          <w:rStyle w:val="Strong"/>
          <w:color w:val="000000"/>
        </w:rPr>
        <w:t>Key Activities</w:t>
      </w:r>
    </w:p>
    <w:p w14:paraId="00C550A6" w14:textId="77777777" w:rsidR="0047592D" w:rsidRDefault="0047592D" w:rsidP="0047592D">
      <w:pPr>
        <w:pStyle w:val="NormalWeb"/>
        <w:numPr>
          <w:ilvl w:val="0"/>
          <w:numId w:val="16"/>
        </w:numPr>
        <w:rPr>
          <w:color w:val="000000"/>
        </w:rPr>
      </w:pPr>
      <w:r>
        <w:rPr>
          <w:color w:val="000000"/>
        </w:rPr>
        <w:t>Reconcile bank, credit card, and key balance sheet accounts each cycle</w:t>
      </w:r>
    </w:p>
    <w:p w14:paraId="2CB396D2" w14:textId="77777777" w:rsidR="0047592D" w:rsidRDefault="0047592D" w:rsidP="0047592D">
      <w:pPr>
        <w:pStyle w:val="NormalWeb"/>
        <w:numPr>
          <w:ilvl w:val="0"/>
          <w:numId w:val="16"/>
        </w:numPr>
        <w:rPr>
          <w:color w:val="000000"/>
        </w:rPr>
      </w:pPr>
      <w:r>
        <w:rPr>
          <w:color w:val="000000"/>
        </w:rPr>
        <w:t>Review variances, anomalies, and exceptions for timely resolution</w:t>
      </w:r>
    </w:p>
    <w:p w14:paraId="00ADCEB4" w14:textId="77777777" w:rsidR="0047592D" w:rsidRDefault="0047592D" w:rsidP="0047592D">
      <w:pPr>
        <w:pStyle w:val="NormalWeb"/>
        <w:numPr>
          <w:ilvl w:val="0"/>
          <w:numId w:val="16"/>
        </w:numPr>
        <w:rPr>
          <w:color w:val="000000"/>
        </w:rPr>
      </w:pPr>
      <w:r>
        <w:rPr>
          <w:color w:val="000000"/>
        </w:rPr>
        <w:t>Document resolutions and maintain a consistent close checklist</w:t>
      </w:r>
    </w:p>
    <w:p w14:paraId="26DF7CA6" w14:textId="77777777" w:rsidR="0047592D" w:rsidRDefault="0047592D" w:rsidP="0047592D">
      <w:pPr>
        <w:pStyle w:val="NormalWeb"/>
        <w:rPr>
          <w:color w:val="000000"/>
        </w:rPr>
      </w:pPr>
      <w:r>
        <w:rPr>
          <w:rStyle w:val="Strong"/>
          <w:color w:val="000000"/>
        </w:rPr>
        <w:lastRenderedPageBreak/>
        <w:t>Why It Matters</w:t>
      </w:r>
    </w:p>
    <w:p w14:paraId="66BDBB0E" w14:textId="77777777" w:rsidR="0047592D" w:rsidRDefault="0047592D" w:rsidP="0047592D">
      <w:pPr>
        <w:pStyle w:val="NormalWeb"/>
        <w:numPr>
          <w:ilvl w:val="0"/>
          <w:numId w:val="17"/>
        </w:numPr>
        <w:rPr>
          <w:color w:val="000000"/>
        </w:rPr>
      </w:pPr>
      <w:r>
        <w:rPr>
          <w:color w:val="000000"/>
        </w:rPr>
        <w:t>Strengthens accuracy and completeness of the books</w:t>
      </w:r>
    </w:p>
    <w:p w14:paraId="17BDE9C2" w14:textId="77777777" w:rsidR="0047592D" w:rsidRDefault="0047592D" w:rsidP="0047592D">
      <w:pPr>
        <w:pStyle w:val="NormalWeb"/>
        <w:numPr>
          <w:ilvl w:val="0"/>
          <w:numId w:val="17"/>
        </w:numPr>
        <w:rPr>
          <w:color w:val="000000"/>
        </w:rPr>
      </w:pPr>
      <w:r>
        <w:rPr>
          <w:color w:val="000000"/>
        </w:rPr>
        <w:t>Detects issues early before they compound</w:t>
      </w:r>
    </w:p>
    <w:p w14:paraId="6BBD754A" w14:textId="77777777" w:rsidR="0047592D" w:rsidRDefault="0047592D" w:rsidP="0047592D">
      <w:pPr>
        <w:pStyle w:val="NormalWeb"/>
        <w:numPr>
          <w:ilvl w:val="0"/>
          <w:numId w:val="17"/>
        </w:numPr>
        <w:rPr>
          <w:color w:val="000000"/>
        </w:rPr>
      </w:pPr>
      <w:r>
        <w:rPr>
          <w:color w:val="000000"/>
        </w:rPr>
        <w:t>Improves confidence in reporting used for decisions and compliance</w:t>
      </w:r>
    </w:p>
    <w:p w14:paraId="5E499277" w14:textId="77777777" w:rsidR="0047592D" w:rsidRDefault="0047592D" w:rsidP="0047592D">
      <w:pPr>
        <w:pStyle w:val="NormalWeb"/>
        <w:rPr>
          <w:color w:val="000000"/>
        </w:rPr>
      </w:pPr>
      <w:r>
        <w:rPr>
          <w:rStyle w:val="Strong"/>
          <w:color w:val="000000"/>
        </w:rPr>
        <w:t>Optional Framework Reference</w:t>
      </w:r>
    </w:p>
    <w:p w14:paraId="4784BF5D" w14:textId="77777777" w:rsidR="0047592D" w:rsidRDefault="0047592D" w:rsidP="0047592D">
      <w:pPr>
        <w:pStyle w:val="NormalWeb"/>
        <w:numPr>
          <w:ilvl w:val="0"/>
          <w:numId w:val="18"/>
        </w:numPr>
        <w:rPr>
          <w:color w:val="000000"/>
        </w:rPr>
      </w:pPr>
      <w:r>
        <w:rPr>
          <w:color w:val="000000"/>
        </w:rPr>
        <w:t>COSO-aligned control thinking to reinforce reliable close and reconciliation discipline</w:t>
      </w:r>
    </w:p>
    <w:p w14:paraId="4AAE2E59" w14:textId="77777777" w:rsidR="0047592D" w:rsidRDefault="00B4266C" w:rsidP="0047592D">
      <w:r>
        <w:rPr>
          <w:noProof/>
        </w:rPr>
        <w:pict w14:anchorId="757CA4A2">
          <v:rect id="_x0000_i1027" alt="" style="width:431.95pt;height:.05pt;mso-width-percent:0;mso-height-percent:0;mso-width-percent:0;mso-height-percent:0" o:hrpct="923" o:hralign="center" o:hrstd="t" o:hr="t" fillcolor="#a0a0a0" stroked="f"/>
        </w:pict>
      </w:r>
    </w:p>
    <w:p w14:paraId="1734E4D3" w14:textId="77777777" w:rsidR="0047592D" w:rsidRDefault="0047592D" w:rsidP="0047592D">
      <w:pPr>
        <w:pStyle w:val="Heading3"/>
        <w:rPr>
          <w:color w:val="000000"/>
        </w:rPr>
      </w:pPr>
      <w:r>
        <w:rPr>
          <w:color w:val="000000"/>
        </w:rPr>
        <w:t>Card 5 — Financial Reporting &amp; Client Review</w:t>
      </w:r>
    </w:p>
    <w:p w14:paraId="633B39FB" w14:textId="721D7C75" w:rsidR="0047592D" w:rsidRDefault="0047592D" w:rsidP="0047592D">
      <w:pPr>
        <w:pStyle w:val="NormalWeb"/>
        <w:rPr>
          <w:color w:val="000000"/>
        </w:rPr>
      </w:pPr>
      <w:r>
        <w:rPr>
          <w:color w:val="000000"/>
        </w:rPr>
        <w:t>Quantum delivers standardized financial statements and supporting schedules designed for clarity and consistency. Results are reviewed for completeness and anomalies, with practical context on key drivers and variances when needed to ensure the numbers are decision-ready.</w:t>
      </w:r>
    </w:p>
    <w:p w14:paraId="722C4F63" w14:textId="77777777" w:rsidR="0047592D" w:rsidRDefault="0047592D" w:rsidP="0047592D">
      <w:pPr>
        <w:pStyle w:val="NormalWeb"/>
        <w:rPr>
          <w:color w:val="000000"/>
        </w:rPr>
      </w:pPr>
      <w:r>
        <w:rPr>
          <w:rStyle w:val="Strong"/>
          <w:color w:val="000000"/>
        </w:rPr>
        <w:t>Key Activities</w:t>
      </w:r>
    </w:p>
    <w:p w14:paraId="28EE76D0" w14:textId="77777777" w:rsidR="0047592D" w:rsidRDefault="0047592D" w:rsidP="0047592D">
      <w:pPr>
        <w:pStyle w:val="NormalWeb"/>
        <w:numPr>
          <w:ilvl w:val="0"/>
          <w:numId w:val="19"/>
        </w:numPr>
        <w:rPr>
          <w:color w:val="000000"/>
        </w:rPr>
      </w:pPr>
      <w:r>
        <w:rPr>
          <w:color w:val="000000"/>
        </w:rPr>
        <w:t>Deliver standardized financial statements and supporting schedules</w:t>
      </w:r>
    </w:p>
    <w:p w14:paraId="5F50C7FA" w14:textId="77777777" w:rsidR="0047592D" w:rsidRDefault="0047592D" w:rsidP="0047592D">
      <w:pPr>
        <w:pStyle w:val="NormalWeb"/>
        <w:numPr>
          <w:ilvl w:val="0"/>
          <w:numId w:val="19"/>
        </w:numPr>
        <w:rPr>
          <w:color w:val="000000"/>
        </w:rPr>
      </w:pPr>
      <w:r>
        <w:rPr>
          <w:color w:val="000000"/>
        </w:rPr>
        <w:t>Review results for consistency, completeness, and material anomalies</w:t>
      </w:r>
    </w:p>
    <w:p w14:paraId="3914A76C" w14:textId="77777777" w:rsidR="0047592D" w:rsidRDefault="0047592D" w:rsidP="0047592D">
      <w:pPr>
        <w:pStyle w:val="NormalWeb"/>
        <w:numPr>
          <w:ilvl w:val="0"/>
          <w:numId w:val="19"/>
        </w:numPr>
        <w:rPr>
          <w:color w:val="000000"/>
        </w:rPr>
      </w:pPr>
      <w:r>
        <w:rPr>
          <w:color w:val="000000"/>
        </w:rPr>
        <w:t>Provide clear context on key drivers and variances as needed</w:t>
      </w:r>
    </w:p>
    <w:p w14:paraId="6867BFC3" w14:textId="77777777" w:rsidR="0047592D" w:rsidRDefault="0047592D" w:rsidP="0047592D">
      <w:pPr>
        <w:pStyle w:val="NormalWeb"/>
        <w:rPr>
          <w:color w:val="000000"/>
        </w:rPr>
      </w:pPr>
      <w:r>
        <w:rPr>
          <w:rStyle w:val="Strong"/>
          <w:color w:val="000000"/>
        </w:rPr>
        <w:t>Why It Matters</w:t>
      </w:r>
    </w:p>
    <w:p w14:paraId="6F347A66" w14:textId="77777777" w:rsidR="0047592D" w:rsidRDefault="0047592D" w:rsidP="0047592D">
      <w:pPr>
        <w:pStyle w:val="NormalWeb"/>
        <w:numPr>
          <w:ilvl w:val="0"/>
          <w:numId w:val="20"/>
        </w:numPr>
        <w:rPr>
          <w:color w:val="000000"/>
        </w:rPr>
      </w:pPr>
      <w:r>
        <w:rPr>
          <w:color w:val="000000"/>
        </w:rPr>
        <w:t>Enables decision-ready reporting without ambiguity</w:t>
      </w:r>
    </w:p>
    <w:p w14:paraId="4B487DBC" w14:textId="77777777" w:rsidR="0047592D" w:rsidRDefault="0047592D" w:rsidP="0047592D">
      <w:pPr>
        <w:pStyle w:val="NormalWeb"/>
        <w:numPr>
          <w:ilvl w:val="0"/>
          <w:numId w:val="20"/>
        </w:numPr>
        <w:rPr>
          <w:color w:val="000000"/>
        </w:rPr>
      </w:pPr>
      <w:r>
        <w:rPr>
          <w:color w:val="000000"/>
        </w:rPr>
        <w:t>Supports stakeholder trust in the numbers</w:t>
      </w:r>
    </w:p>
    <w:p w14:paraId="370C77AE" w14:textId="77777777" w:rsidR="0047592D" w:rsidRDefault="0047592D" w:rsidP="0047592D">
      <w:pPr>
        <w:pStyle w:val="NormalWeb"/>
        <w:numPr>
          <w:ilvl w:val="0"/>
          <w:numId w:val="20"/>
        </w:numPr>
        <w:rPr>
          <w:color w:val="000000"/>
        </w:rPr>
      </w:pPr>
      <w:r>
        <w:rPr>
          <w:color w:val="000000"/>
        </w:rPr>
        <w:t>Improves operational control through timely visibility</w:t>
      </w:r>
    </w:p>
    <w:p w14:paraId="745814A4" w14:textId="77777777" w:rsidR="0047592D" w:rsidRDefault="00B4266C" w:rsidP="0047592D">
      <w:r>
        <w:rPr>
          <w:noProof/>
        </w:rPr>
        <w:pict w14:anchorId="69347F7A">
          <v:rect id="_x0000_i1026" alt="" style="width:398.75pt;height:.05pt;mso-width-percent:0;mso-height-percent:0;mso-width-percent:0;mso-height-percent:0" o:hrpct="852" o:hralign="center" o:hrstd="t" o:hr="t" fillcolor="#a0a0a0" stroked="f"/>
        </w:pict>
      </w:r>
    </w:p>
    <w:p w14:paraId="721CCDE3" w14:textId="77777777" w:rsidR="0047592D" w:rsidRDefault="0047592D" w:rsidP="0047592D">
      <w:pPr>
        <w:pStyle w:val="Heading3"/>
        <w:rPr>
          <w:color w:val="000000"/>
        </w:rPr>
      </w:pPr>
      <w:r>
        <w:rPr>
          <w:color w:val="000000"/>
        </w:rPr>
        <w:t>Card 6 — Ongoing Monitoring, Adjustments &amp; Advisory Alignment</w:t>
      </w:r>
    </w:p>
    <w:p w14:paraId="56137679" w14:textId="5C9812BA" w:rsidR="0047592D" w:rsidRDefault="0047592D" w:rsidP="0047592D">
      <w:pPr>
        <w:pStyle w:val="NormalWeb"/>
        <w:rPr>
          <w:color w:val="000000"/>
        </w:rPr>
      </w:pPr>
      <w:r>
        <w:rPr>
          <w:color w:val="000000"/>
        </w:rPr>
        <w:t>As business activity evolves, Quantum updates classifications and reporting structures to prevent drift and keep outputs aligned to compliance needs. Risks and recurring issues are escalated clearly, with practical options to address root causes and protect reporting integrity.</w:t>
      </w:r>
    </w:p>
    <w:p w14:paraId="43B4E749" w14:textId="77777777" w:rsidR="0047592D" w:rsidRDefault="0047592D" w:rsidP="0047592D">
      <w:pPr>
        <w:pStyle w:val="NormalWeb"/>
        <w:rPr>
          <w:color w:val="000000"/>
        </w:rPr>
      </w:pPr>
      <w:r>
        <w:rPr>
          <w:rStyle w:val="Strong"/>
          <w:color w:val="000000"/>
        </w:rPr>
        <w:t>Key Activities</w:t>
      </w:r>
    </w:p>
    <w:p w14:paraId="0E19A182" w14:textId="77777777" w:rsidR="0047592D" w:rsidRDefault="0047592D" w:rsidP="0047592D">
      <w:pPr>
        <w:pStyle w:val="NormalWeb"/>
        <w:numPr>
          <w:ilvl w:val="0"/>
          <w:numId w:val="21"/>
        </w:numPr>
        <w:rPr>
          <w:color w:val="000000"/>
        </w:rPr>
      </w:pPr>
      <w:r>
        <w:rPr>
          <w:color w:val="000000"/>
        </w:rPr>
        <w:t>Adjust classifications and reporting as business activity evolves</w:t>
      </w:r>
    </w:p>
    <w:p w14:paraId="08559E5E" w14:textId="77777777" w:rsidR="0047592D" w:rsidRDefault="0047592D" w:rsidP="0047592D">
      <w:pPr>
        <w:pStyle w:val="NormalWeb"/>
        <w:numPr>
          <w:ilvl w:val="0"/>
          <w:numId w:val="21"/>
        </w:numPr>
        <w:rPr>
          <w:color w:val="000000"/>
        </w:rPr>
      </w:pPr>
      <w:r>
        <w:rPr>
          <w:color w:val="000000"/>
        </w:rPr>
        <w:t>Align bookkeeping outputs with tax planning and compliance needs</w:t>
      </w:r>
    </w:p>
    <w:p w14:paraId="57A94115" w14:textId="77777777" w:rsidR="0047592D" w:rsidRDefault="0047592D" w:rsidP="0047592D">
      <w:pPr>
        <w:pStyle w:val="NormalWeb"/>
        <w:numPr>
          <w:ilvl w:val="0"/>
          <w:numId w:val="21"/>
        </w:numPr>
        <w:rPr>
          <w:color w:val="000000"/>
        </w:rPr>
      </w:pPr>
      <w:r>
        <w:rPr>
          <w:color w:val="000000"/>
        </w:rPr>
        <w:t>Escalate risks and issues with clear recommendations and options</w:t>
      </w:r>
    </w:p>
    <w:p w14:paraId="1332A0AB" w14:textId="77777777" w:rsidR="0047592D" w:rsidRDefault="0047592D" w:rsidP="0047592D">
      <w:pPr>
        <w:pStyle w:val="NormalWeb"/>
        <w:rPr>
          <w:color w:val="000000"/>
        </w:rPr>
      </w:pPr>
      <w:r>
        <w:rPr>
          <w:rStyle w:val="Strong"/>
          <w:color w:val="000000"/>
        </w:rPr>
        <w:lastRenderedPageBreak/>
        <w:t>Why It Matters</w:t>
      </w:r>
    </w:p>
    <w:p w14:paraId="184A7207" w14:textId="77777777" w:rsidR="0047592D" w:rsidRDefault="0047592D" w:rsidP="0047592D">
      <w:pPr>
        <w:pStyle w:val="NormalWeb"/>
        <w:numPr>
          <w:ilvl w:val="0"/>
          <w:numId w:val="22"/>
        </w:numPr>
        <w:rPr>
          <w:color w:val="000000"/>
        </w:rPr>
      </w:pPr>
      <w:r>
        <w:rPr>
          <w:color w:val="000000"/>
        </w:rPr>
        <w:t>Prevents recurring errors from becoming embedded</w:t>
      </w:r>
    </w:p>
    <w:p w14:paraId="7B0528F7" w14:textId="77777777" w:rsidR="0047592D" w:rsidRDefault="0047592D" w:rsidP="0047592D">
      <w:pPr>
        <w:pStyle w:val="NormalWeb"/>
        <w:numPr>
          <w:ilvl w:val="0"/>
          <w:numId w:val="22"/>
        </w:numPr>
        <w:rPr>
          <w:color w:val="000000"/>
        </w:rPr>
      </w:pPr>
      <w:r>
        <w:rPr>
          <w:color w:val="000000"/>
        </w:rPr>
        <w:t>Supports scalable operations without sacrificing control</w:t>
      </w:r>
    </w:p>
    <w:p w14:paraId="1001954D" w14:textId="77777777" w:rsidR="0047592D" w:rsidRDefault="0047592D" w:rsidP="0047592D">
      <w:pPr>
        <w:pStyle w:val="NormalWeb"/>
        <w:numPr>
          <w:ilvl w:val="0"/>
          <w:numId w:val="22"/>
        </w:numPr>
        <w:rPr>
          <w:color w:val="000000"/>
        </w:rPr>
      </w:pPr>
      <w:r>
        <w:rPr>
          <w:color w:val="000000"/>
        </w:rPr>
        <w:t>Improves end-to-end governance over financial data quality</w:t>
      </w:r>
    </w:p>
    <w:p w14:paraId="27C97155" w14:textId="77777777" w:rsidR="0047592D" w:rsidRDefault="00B4266C" w:rsidP="0047592D">
      <w:r>
        <w:rPr>
          <w:noProof/>
        </w:rPr>
        <w:pict w14:anchorId="323A9B16">
          <v:rect id="_x0000_i1025" alt="" style="width:398.75pt;height:.05pt;mso-width-percent:0;mso-height-percent:0;mso-width-percent:0;mso-height-percent:0" o:hrpct="852" o:hralign="center" o:hrstd="t" o:hr="t" fillcolor="#a0a0a0" stroked="f"/>
        </w:pict>
      </w:r>
    </w:p>
    <w:p w14:paraId="760D92DB" w14:textId="77777777" w:rsidR="0047592D" w:rsidRDefault="0047592D" w:rsidP="0047592D">
      <w:pPr>
        <w:pStyle w:val="Heading3"/>
        <w:rPr>
          <w:color w:val="000000"/>
        </w:rPr>
      </w:pPr>
      <w:r>
        <w:rPr>
          <w:color w:val="000000"/>
        </w:rPr>
        <w:t>Card 7 — Post-Period Review &amp; Continuous Improvement</w:t>
      </w:r>
    </w:p>
    <w:p w14:paraId="01C7D89E" w14:textId="6DA30712" w:rsidR="0047592D" w:rsidRDefault="0047592D" w:rsidP="0047592D">
      <w:pPr>
        <w:pStyle w:val="NormalWeb"/>
        <w:rPr>
          <w:color w:val="000000"/>
        </w:rPr>
      </w:pPr>
      <w:r>
        <w:rPr>
          <w:color w:val="000000"/>
        </w:rPr>
        <w:t>Quantum reviews workflow performance, turnaround times, and recurring exceptions to improve reliability over time. Controls, checklists, and documentation standards are refined to reduce friction and sustain a mature, audit-ready operating rhythm.</w:t>
      </w:r>
    </w:p>
    <w:p w14:paraId="6ACDDF04" w14:textId="77777777" w:rsidR="0047592D" w:rsidRDefault="0047592D" w:rsidP="0047592D">
      <w:pPr>
        <w:pStyle w:val="NormalWeb"/>
        <w:rPr>
          <w:color w:val="000000"/>
        </w:rPr>
      </w:pPr>
      <w:r>
        <w:rPr>
          <w:rStyle w:val="Strong"/>
          <w:color w:val="000000"/>
        </w:rPr>
        <w:t>Key Activities</w:t>
      </w:r>
    </w:p>
    <w:p w14:paraId="76F19071" w14:textId="77777777" w:rsidR="0047592D" w:rsidRDefault="0047592D" w:rsidP="0047592D">
      <w:pPr>
        <w:pStyle w:val="NormalWeb"/>
        <w:numPr>
          <w:ilvl w:val="0"/>
          <w:numId w:val="23"/>
        </w:numPr>
        <w:rPr>
          <w:color w:val="000000"/>
        </w:rPr>
      </w:pPr>
      <w:r>
        <w:rPr>
          <w:color w:val="000000"/>
        </w:rPr>
        <w:t>Review workflow efficiency, turnaround times, and recurring exceptions</w:t>
      </w:r>
    </w:p>
    <w:p w14:paraId="2C3F36B6" w14:textId="77777777" w:rsidR="0047592D" w:rsidRDefault="0047592D" w:rsidP="0047592D">
      <w:pPr>
        <w:pStyle w:val="NormalWeb"/>
        <w:numPr>
          <w:ilvl w:val="0"/>
          <w:numId w:val="23"/>
        </w:numPr>
        <w:rPr>
          <w:color w:val="000000"/>
        </w:rPr>
      </w:pPr>
      <w:r>
        <w:rPr>
          <w:color w:val="000000"/>
        </w:rPr>
        <w:t>Refine controls, checklists, and documentation standards</w:t>
      </w:r>
    </w:p>
    <w:p w14:paraId="1022C11B" w14:textId="77777777" w:rsidR="0047592D" w:rsidRDefault="0047592D" w:rsidP="0047592D">
      <w:pPr>
        <w:pStyle w:val="NormalWeb"/>
        <w:numPr>
          <w:ilvl w:val="0"/>
          <w:numId w:val="23"/>
        </w:numPr>
        <w:rPr>
          <w:color w:val="000000"/>
        </w:rPr>
      </w:pPr>
      <w:r>
        <w:rPr>
          <w:color w:val="000000"/>
        </w:rPr>
        <w:t>Incorporate feedback to maintain consistent service performance</w:t>
      </w:r>
    </w:p>
    <w:p w14:paraId="2056EC3F" w14:textId="77777777" w:rsidR="0047592D" w:rsidRDefault="0047592D" w:rsidP="0047592D">
      <w:pPr>
        <w:pStyle w:val="NormalWeb"/>
        <w:rPr>
          <w:color w:val="000000"/>
        </w:rPr>
      </w:pPr>
      <w:r>
        <w:rPr>
          <w:rStyle w:val="Strong"/>
          <w:color w:val="000000"/>
        </w:rPr>
        <w:t>Why It Matters</w:t>
      </w:r>
    </w:p>
    <w:p w14:paraId="41B1F2A5" w14:textId="77777777" w:rsidR="0047592D" w:rsidRDefault="0047592D" w:rsidP="0047592D">
      <w:pPr>
        <w:pStyle w:val="NormalWeb"/>
        <w:numPr>
          <w:ilvl w:val="0"/>
          <w:numId w:val="24"/>
        </w:numPr>
        <w:rPr>
          <w:color w:val="000000"/>
        </w:rPr>
      </w:pPr>
      <w:r>
        <w:rPr>
          <w:color w:val="000000"/>
        </w:rPr>
        <w:t>Improves reliability and consistency over time</w:t>
      </w:r>
    </w:p>
    <w:p w14:paraId="62B681E6" w14:textId="77777777" w:rsidR="0047592D" w:rsidRDefault="0047592D" w:rsidP="0047592D">
      <w:pPr>
        <w:pStyle w:val="NormalWeb"/>
        <w:numPr>
          <w:ilvl w:val="0"/>
          <w:numId w:val="24"/>
        </w:numPr>
        <w:rPr>
          <w:color w:val="000000"/>
        </w:rPr>
      </w:pPr>
      <w:r>
        <w:rPr>
          <w:color w:val="000000"/>
        </w:rPr>
        <w:t>Reduces friction for internal teams and stakeholders</w:t>
      </w:r>
    </w:p>
    <w:p w14:paraId="0EA24C38" w14:textId="77777777" w:rsidR="0047592D" w:rsidRDefault="0047592D" w:rsidP="0047592D">
      <w:pPr>
        <w:pStyle w:val="NormalWeb"/>
        <w:numPr>
          <w:ilvl w:val="0"/>
          <w:numId w:val="24"/>
        </w:numPr>
        <w:rPr>
          <w:color w:val="000000"/>
        </w:rPr>
      </w:pPr>
      <w:r>
        <w:rPr>
          <w:color w:val="000000"/>
        </w:rPr>
        <w:t>Supports a mature, audit-ready operating rhythm</w:t>
      </w:r>
    </w:p>
    <w:p w14:paraId="300CC7A1" w14:textId="055C8455" w:rsidR="002B678C" w:rsidRPr="0047592D" w:rsidRDefault="002B678C" w:rsidP="0047592D"/>
    <w:sectPr w:rsidR="002B678C" w:rsidRPr="004759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0CAD9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D3456"/>
    <w:multiLevelType w:val="multilevel"/>
    <w:tmpl w:val="101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50DAF"/>
    <w:multiLevelType w:val="multilevel"/>
    <w:tmpl w:val="37C8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458C0"/>
    <w:multiLevelType w:val="multilevel"/>
    <w:tmpl w:val="08D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01D4B"/>
    <w:multiLevelType w:val="multilevel"/>
    <w:tmpl w:val="FCE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3751E"/>
    <w:multiLevelType w:val="multilevel"/>
    <w:tmpl w:val="BC5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E0DA0"/>
    <w:multiLevelType w:val="multilevel"/>
    <w:tmpl w:val="EAA4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56349"/>
    <w:multiLevelType w:val="multilevel"/>
    <w:tmpl w:val="5074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54B8D"/>
    <w:multiLevelType w:val="multilevel"/>
    <w:tmpl w:val="384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B6A64"/>
    <w:multiLevelType w:val="multilevel"/>
    <w:tmpl w:val="B81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351FA"/>
    <w:multiLevelType w:val="multilevel"/>
    <w:tmpl w:val="628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D3DEA"/>
    <w:multiLevelType w:val="multilevel"/>
    <w:tmpl w:val="059C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F223D"/>
    <w:multiLevelType w:val="multilevel"/>
    <w:tmpl w:val="582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35DFB"/>
    <w:multiLevelType w:val="multilevel"/>
    <w:tmpl w:val="6C00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606FFE"/>
    <w:multiLevelType w:val="multilevel"/>
    <w:tmpl w:val="5024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A0298"/>
    <w:multiLevelType w:val="multilevel"/>
    <w:tmpl w:val="43F4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59090">
    <w:abstractNumId w:val="8"/>
  </w:num>
  <w:num w:numId="2" w16cid:durableId="447822431">
    <w:abstractNumId w:val="6"/>
  </w:num>
  <w:num w:numId="3" w16cid:durableId="248589294">
    <w:abstractNumId w:val="5"/>
  </w:num>
  <w:num w:numId="4" w16cid:durableId="879054690">
    <w:abstractNumId w:val="4"/>
  </w:num>
  <w:num w:numId="5" w16cid:durableId="1958876414">
    <w:abstractNumId w:val="7"/>
  </w:num>
  <w:num w:numId="6" w16cid:durableId="1204058613">
    <w:abstractNumId w:val="3"/>
  </w:num>
  <w:num w:numId="7" w16cid:durableId="1142120705">
    <w:abstractNumId w:val="2"/>
  </w:num>
  <w:num w:numId="8" w16cid:durableId="1854538001">
    <w:abstractNumId w:val="1"/>
  </w:num>
  <w:num w:numId="9" w16cid:durableId="1615093714">
    <w:abstractNumId w:val="0"/>
  </w:num>
  <w:num w:numId="10" w16cid:durableId="222955185">
    <w:abstractNumId w:val="18"/>
  </w:num>
  <w:num w:numId="11" w16cid:durableId="841090574">
    <w:abstractNumId w:val="16"/>
  </w:num>
  <w:num w:numId="12" w16cid:durableId="1812937993">
    <w:abstractNumId w:val="21"/>
  </w:num>
  <w:num w:numId="13" w16cid:durableId="511802073">
    <w:abstractNumId w:val="17"/>
  </w:num>
  <w:num w:numId="14" w16cid:durableId="408311998">
    <w:abstractNumId w:val="14"/>
  </w:num>
  <w:num w:numId="15" w16cid:durableId="958149839">
    <w:abstractNumId w:val="15"/>
  </w:num>
  <w:num w:numId="16" w16cid:durableId="203518476">
    <w:abstractNumId w:val="11"/>
  </w:num>
  <w:num w:numId="17" w16cid:durableId="1205369640">
    <w:abstractNumId w:val="10"/>
  </w:num>
  <w:num w:numId="18" w16cid:durableId="253785339">
    <w:abstractNumId w:val="23"/>
  </w:num>
  <w:num w:numId="19" w16cid:durableId="173109032">
    <w:abstractNumId w:val="12"/>
  </w:num>
  <w:num w:numId="20" w16cid:durableId="820315061">
    <w:abstractNumId w:val="13"/>
  </w:num>
  <w:num w:numId="21" w16cid:durableId="702904568">
    <w:abstractNumId w:val="19"/>
  </w:num>
  <w:num w:numId="22" w16cid:durableId="2035112574">
    <w:abstractNumId w:val="9"/>
  </w:num>
  <w:num w:numId="23" w16cid:durableId="1964649444">
    <w:abstractNumId w:val="20"/>
  </w:num>
  <w:num w:numId="24" w16cid:durableId="11080429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78C"/>
    <w:rsid w:val="00326F90"/>
    <w:rsid w:val="0047592D"/>
    <w:rsid w:val="00AA1D8D"/>
    <w:rsid w:val="00B4266C"/>
    <w:rsid w:val="00B47730"/>
    <w:rsid w:val="00BE2E5E"/>
    <w:rsid w:val="00CB0664"/>
    <w:rsid w:val="00CD6F65"/>
    <w:rsid w:val="00F133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DD9D0"/>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7592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736</Words>
  <Characters>5062</Characters>
  <Application>Microsoft Office Word</Application>
  <DocSecurity>0</DocSecurity>
  <Lines>115</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3</cp:revision>
  <dcterms:created xsi:type="dcterms:W3CDTF">2013-12-23T23:15:00Z</dcterms:created>
  <dcterms:modified xsi:type="dcterms:W3CDTF">2026-02-01T21:49:00Z</dcterms:modified>
  <cp:category/>
</cp:coreProperties>
</file>