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20490" w14:textId="77777777" w:rsidR="00A25672" w:rsidRDefault="00A25672" w:rsidP="00A25672">
      <w:pPr>
        <w:pStyle w:val="NormalWeb"/>
        <w:rPr>
          <w:color w:val="000000"/>
        </w:rPr>
      </w:pPr>
      <w:r w:rsidRPr="00A25672">
        <w:rPr>
          <w:b/>
          <w:bCs/>
          <w:color w:val="000000"/>
        </w:rPr>
        <w:t>Cash Flow Management Services – Quantum’s Proactive Liquidity &amp; Control Framework</w:t>
      </w:r>
      <w:r>
        <w:rPr>
          <w:color w:val="000000"/>
        </w:rPr>
        <w:br/>
        <w:t>Cash Flow Management Services provide forward-looking liquidity visibility and control to reduce surprises and protect operating stability. Even profitable organizations can face disruption when cash timing, working capital, and commitments are not governed with discipline. Quantum’s approach is governance-first and control-driven, grounded in Clarity, Consistency, Compliance, Communication, Control, and Comprehensiveness, combining forecasting, variance management, and decision support. The outcome is predictable cash planning, stronger operating control, and scalable liquidity discipline.</w:t>
      </w:r>
    </w:p>
    <w:p w14:paraId="08F5C05D" w14:textId="77777777" w:rsidR="00A25672" w:rsidRDefault="00A25672" w:rsidP="00A25672">
      <w:pPr>
        <w:pStyle w:val="NormalWeb"/>
        <w:rPr>
          <w:color w:val="000000"/>
        </w:rPr>
      </w:pPr>
      <w:r w:rsidRPr="00A25672">
        <w:rPr>
          <w:b/>
          <w:bCs/>
          <w:color w:val="000000"/>
        </w:rPr>
        <w:t>Cash Flow Discovery &amp; Business Context Review</w:t>
      </w:r>
      <w:r>
        <w:rPr>
          <w:color w:val="000000"/>
        </w:rPr>
        <w:br/>
        <w:t>This stage establishes the operating context behind cash movement so forecasting reflects reality—not assumptions. We map how cash enters and exits the business across revenue cycles, customer terms, vendor commitments, and recurring obligations, while identifying seasonality and structural timing gaps. The result is a shared understanding of drivers, scope, cadence, and responsibilities before controls and forecasts are put in motion.</w:t>
      </w:r>
      <w:r>
        <w:rPr>
          <w:color w:val="000000"/>
        </w:rPr>
        <w:br/>
        <w:t>Purpose</w:t>
      </w:r>
      <w:r>
        <w:rPr>
          <w:color w:val="000000"/>
        </w:rPr>
        <w:br/>
        <w:t>• Understand how cash moves through revenue cycles, payment terms, and expense patterns</w:t>
      </w:r>
      <w:r>
        <w:rPr>
          <w:color w:val="000000"/>
        </w:rPr>
        <w:br/>
        <w:t>• Identify seasonality, structural gaps, and cash flow drivers</w:t>
      </w:r>
      <w:r>
        <w:rPr>
          <w:color w:val="000000"/>
        </w:rPr>
        <w:br/>
        <w:t>• Define forecasting scope, cadence, and accountability</w:t>
      </w:r>
      <w:r>
        <w:rPr>
          <w:color w:val="000000"/>
        </w:rPr>
        <w:br/>
        <w:t>Why It Matters</w:t>
      </w:r>
      <w:r>
        <w:rPr>
          <w:color w:val="000000"/>
        </w:rPr>
        <w:br/>
        <w:t>• Prevents surprises by identifying root causes early</w:t>
      </w:r>
      <w:r>
        <w:rPr>
          <w:color w:val="000000"/>
        </w:rPr>
        <w:br/>
        <w:t>• Improves control over timing-driven liquidity constraints</w:t>
      </w:r>
      <w:r>
        <w:rPr>
          <w:color w:val="000000"/>
        </w:rPr>
        <w:br/>
        <w:t>• Creates a reliable baseline for forecasting discipline</w:t>
      </w:r>
    </w:p>
    <w:p w14:paraId="56E15E2A" w14:textId="77777777" w:rsidR="00A25672" w:rsidRDefault="00A25672" w:rsidP="00A25672">
      <w:pPr>
        <w:pStyle w:val="NormalWeb"/>
        <w:rPr>
          <w:color w:val="000000"/>
        </w:rPr>
      </w:pPr>
      <w:r w:rsidRPr="00A25672">
        <w:rPr>
          <w:b/>
          <w:bCs/>
          <w:color w:val="000000"/>
        </w:rPr>
        <w:t>Current Cash Position &amp; Working Capital Assessment</w:t>
      </w:r>
      <w:r>
        <w:rPr>
          <w:color w:val="000000"/>
        </w:rPr>
        <w:br/>
        <w:t>This stage clarifies the organization’s true liquidity position by separating available cash from near-term commitments and timing constraints. We assess receivables, payables, and other working capital drivers to identify bottlenecks, leakage, and patterns that distort cash availability. The outcome is a fact-based baseline that supports confident decisions and targeted working capital improvements.</w:t>
      </w:r>
      <w:r>
        <w:rPr>
          <w:color w:val="000000"/>
        </w:rPr>
        <w:br/>
        <w:t>Purpose</w:t>
      </w:r>
      <w:r>
        <w:rPr>
          <w:color w:val="000000"/>
        </w:rPr>
        <w:br/>
        <w:t>• Evaluate cash balances, obligations, and working capital trends</w:t>
      </w:r>
      <w:r>
        <w:rPr>
          <w:color w:val="000000"/>
        </w:rPr>
        <w:br/>
        <w:t>• Assess receivables, payables, and other timing drivers</w:t>
      </w:r>
      <w:r>
        <w:rPr>
          <w:color w:val="000000"/>
        </w:rPr>
        <w:br/>
        <w:t>• Identify bottlenecks and leakage points</w:t>
      </w:r>
      <w:r>
        <w:rPr>
          <w:color w:val="000000"/>
        </w:rPr>
        <w:br/>
        <w:t>Why It Matters</w:t>
      </w:r>
      <w:r>
        <w:rPr>
          <w:color w:val="000000"/>
        </w:rPr>
        <w:br/>
        <w:t>• Clarifies true liquidity position for confident decisions</w:t>
      </w:r>
      <w:r>
        <w:rPr>
          <w:color w:val="000000"/>
        </w:rPr>
        <w:br/>
        <w:t>• Improves control over working capital efficiency</w:t>
      </w:r>
      <w:r>
        <w:rPr>
          <w:color w:val="000000"/>
        </w:rPr>
        <w:br/>
        <w:t>• Reduces risk of cash stress driven by hidden timing issues</w:t>
      </w:r>
    </w:p>
    <w:p w14:paraId="1EE65BCF" w14:textId="77777777" w:rsidR="00A25672" w:rsidRDefault="00A25672" w:rsidP="00A25672">
      <w:pPr>
        <w:pStyle w:val="NormalWeb"/>
        <w:rPr>
          <w:color w:val="000000"/>
        </w:rPr>
      </w:pPr>
      <w:r w:rsidRPr="00A25672">
        <w:rPr>
          <w:b/>
          <w:bCs/>
          <w:color w:val="000000"/>
        </w:rPr>
        <w:t>Cash Flow Forecasting &amp; Scenario Planning</w:t>
      </w:r>
      <w:r>
        <w:rPr>
          <w:color w:val="000000"/>
        </w:rPr>
        <w:br/>
        <w:t xml:space="preserve">This stage builds forward-looking visibility using operating-driver-based forecasts rather than static spreadsheets. We define assumptions, model timing of inflows and outflows, and run scenarios for growth, delayed collections, cost increases, or unexpected expenses. </w:t>
      </w:r>
      <w:r>
        <w:rPr>
          <w:color w:val="000000"/>
        </w:rPr>
        <w:lastRenderedPageBreak/>
        <w:t>The result is a repeatable forecasting process with clear update controls that scales as complexity increases.</w:t>
      </w:r>
      <w:r>
        <w:rPr>
          <w:color w:val="000000"/>
        </w:rPr>
        <w:br/>
        <w:t>Purpose</w:t>
      </w:r>
      <w:r>
        <w:rPr>
          <w:color w:val="000000"/>
        </w:rPr>
        <w:br/>
        <w:t>• Build forward-looking forecasts aligned to operating reality</w:t>
      </w:r>
      <w:r>
        <w:rPr>
          <w:color w:val="000000"/>
        </w:rPr>
        <w:br/>
        <w:t>• Model scenarios for growth, delays, and unexpected expenses</w:t>
      </w:r>
      <w:r>
        <w:rPr>
          <w:color w:val="000000"/>
        </w:rPr>
        <w:br/>
        <w:t>• Define assumptions and update controls</w:t>
      </w:r>
      <w:r>
        <w:rPr>
          <w:color w:val="000000"/>
        </w:rPr>
        <w:br/>
        <w:t>Why It Matters</w:t>
      </w:r>
      <w:r>
        <w:rPr>
          <w:color w:val="000000"/>
        </w:rPr>
        <w:br/>
        <w:t>• Improves predictability and reduces uncertainty</w:t>
      </w:r>
      <w:r>
        <w:rPr>
          <w:color w:val="000000"/>
        </w:rPr>
        <w:br/>
        <w:t>• Enables proactive corrective action before issues escalate</w:t>
      </w:r>
      <w:r>
        <w:rPr>
          <w:color w:val="000000"/>
        </w:rPr>
        <w:br/>
        <w:t>• Supports scalable planning discipline as complexity grows</w:t>
      </w:r>
    </w:p>
    <w:p w14:paraId="065CD2EB" w14:textId="77777777" w:rsidR="00A25672" w:rsidRDefault="00A25672" w:rsidP="00A25672">
      <w:pPr>
        <w:pStyle w:val="NormalWeb"/>
        <w:rPr>
          <w:color w:val="000000"/>
        </w:rPr>
      </w:pPr>
      <w:r w:rsidRPr="00A25672">
        <w:rPr>
          <w:b/>
          <w:bCs/>
          <w:color w:val="000000"/>
        </w:rPr>
        <w:t>Inflow Optimization &amp; Receivables Management</w:t>
      </w:r>
      <w:r>
        <w:rPr>
          <w:color w:val="000000"/>
        </w:rPr>
        <w:br/>
        <w:t>This stage strengthens inbound cash discipline by improving predictability and shortening collection cycles where practical. We analyze aging, customer behavior, and billing processes, then establish escalation steps and follow-up controls to reduce slippage. The outcome is improved liquidity without relying on external financing and stronger control over cash conversion.</w:t>
      </w:r>
      <w:r>
        <w:rPr>
          <w:color w:val="000000"/>
        </w:rPr>
        <w:br/>
        <w:t>Purpose</w:t>
      </w:r>
      <w:r>
        <w:rPr>
          <w:color w:val="000000"/>
        </w:rPr>
        <w:br/>
        <w:t>• Analyze collections patterns and aging to improve predictability</w:t>
      </w:r>
      <w:r>
        <w:rPr>
          <w:color w:val="000000"/>
        </w:rPr>
        <w:br/>
        <w:t>• Evaluate billing and payment terms to accelerate cash where practical</w:t>
      </w:r>
      <w:r>
        <w:rPr>
          <w:color w:val="000000"/>
        </w:rPr>
        <w:br/>
        <w:t>• Define escalation and follow-up controls</w:t>
      </w:r>
      <w:r>
        <w:rPr>
          <w:color w:val="000000"/>
        </w:rPr>
        <w:br/>
        <w:t>Why It Matters</w:t>
      </w:r>
      <w:r>
        <w:rPr>
          <w:color w:val="000000"/>
        </w:rPr>
        <w:br/>
        <w:t>• Reduces cash strain created by delayed collections</w:t>
      </w:r>
      <w:r>
        <w:rPr>
          <w:color w:val="000000"/>
        </w:rPr>
        <w:br/>
        <w:t>• Improves liquidity without relying on external financing</w:t>
      </w:r>
      <w:r>
        <w:rPr>
          <w:color w:val="000000"/>
        </w:rPr>
        <w:br/>
        <w:t>• Strengthens operational control over inbound cash</w:t>
      </w:r>
    </w:p>
    <w:p w14:paraId="3214361F" w14:textId="77777777" w:rsidR="00A25672" w:rsidRDefault="00A25672" w:rsidP="00A25672">
      <w:pPr>
        <w:pStyle w:val="NormalWeb"/>
        <w:rPr>
          <w:color w:val="000000"/>
        </w:rPr>
      </w:pPr>
      <w:r w:rsidRPr="00A25672">
        <w:rPr>
          <w:b/>
          <w:bCs/>
          <w:color w:val="000000"/>
        </w:rPr>
        <w:t>Outflow Control &amp; Expense Timing Optimization</w:t>
      </w:r>
      <w:r>
        <w:rPr>
          <w:color w:val="000000"/>
        </w:rPr>
        <w:br/>
        <w:t>This stage creates disciplined control over disbursements so vendor payments and operating spend align with forecasted availability and priorities. We review payment terms, recurring obligations, and discretionary spend, then define approval and prioritization rules that support timing optimization. The result is fewer cash shocks, improved predictability of commitments, and clearer accountability over spending decisions.</w:t>
      </w:r>
      <w:r>
        <w:rPr>
          <w:color w:val="000000"/>
        </w:rPr>
        <w:br/>
        <w:t>Purpose</w:t>
      </w:r>
      <w:r>
        <w:rPr>
          <w:color w:val="000000"/>
        </w:rPr>
        <w:br/>
        <w:t>• Review cash outflows and vendor terms for timing optimization</w:t>
      </w:r>
      <w:r>
        <w:rPr>
          <w:color w:val="000000"/>
        </w:rPr>
        <w:br/>
        <w:t>• Plan disbursements aligned to forecasted availability</w:t>
      </w:r>
      <w:r>
        <w:rPr>
          <w:color w:val="000000"/>
        </w:rPr>
        <w:br/>
        <w:t>• Improve approval and prioritization discipline</w:t>
      </w:r>
      <w:r>
        <w:rPr>
          <w:color w:val="000000"/>
        </w:rPr>
        <w:br/>
        <w:t>Why It Matters</w:t>
      </w:r>
      <w:r>
        <w:rPr>
          <w:color w:val="000000"/>
        </w:rPr>
        <w:br/>
        <w:t>• Prevents avoidable liquidity stress from unmanaged outflows</w:t>
      </w:r>
      <w:r>
        <w:rPr>
          <w:color w:val="000000"/>
        </w:rPr>
        <w:br/>
        <w:t>• Improves predictability of cash commitments</w:t>
      </w:r>
      <w:r>
        <w:rPr>
          <w:color w:val="000000"/>
        </w:rPr>
        <w:br/>
        <w:t>• Strengthens control and accountability over spending</w:t>
      </w:r>
    </w:p>
    <w:p w14:paraId="4C6D184E" w14:textId="77777777" w:rsidR="00A25672" w:rsidRDefault="00A25672" w:rsidP="00A25672">
      <w:pPr>
        <w:pStyle w:val="NormalWeb"/>
        <w:rPr>
          <w:color w:val="000000"/>
        </w:rPr>
      </w:pPr>
      <w:r w:rsidRPr="00A25672">
        <w:rPr>
          <w:b/>
          <w:bCs/>
          <w:color w:val="000000"/>
        </w:rPr>
        <w:t>Cash Controls, Monitoring &amp; Adjustments</w:t>
      </w:r>
      <w:r>
        <w:rPr>
          <w:color w:val="000000"/>
        </w:rPr>
        <w:br/>
        <w:t xml:space="preserve">This stage operationalizes cash management as a continuous control cycle rather than a monthly check-in. We track actual performance against forecasts, investigate variances, and update assumptions and actions based on real results. The outcome is a steady </w:t>
      </w:r>
      <w:r>
        <w:rPr>
          <w:color w:val="000000"/>
        </w:rPr>
        <w:lastRenderedPageBreak/>
        <w:t>reporting rhythm that surfaces issues early and keeps liquidity discipline consistent as the business changes.</w:t>
      </w:r>
      <w:r>
        <w:rPr>
          <w:color w:val="000000"/>
        </w:rPr>
        <w:br/>
        <w:t>Purpose</w:t>
      </w:r>
      <w:r>
        <w:rPr>
          <w:color w:val="000000"/>
        </w:rPr>
        <w:br/>
        <w:t>• Monitor performance against forecasts and identify variances</w:t>
      </w:r>
      <w:r>
        <w:rPr>
          <w:color w:val="000000"/>
        </w:rPr>
        <w:br/>
        <w:t>• Adjust assumptions and actions based on actual results</w:t>
      </w:r>
      <w:r>
        <w:rPr>
          <w:color w:val="000000"/>
        </w:rPr>
        <w:br/>
        <w:t>• Establish a repeatable reporting rhythm</w:t>
      </w:r>
      <w:r>
        <w:rPr>
          <w:color w:val="000000"/>
        </w:rPr>
        <w:br/>
        <w:t>Why It Matters</w:t>
      </w:r>
      <w:r>
        <w:rPr>
          <w:color w:val="000000"/>
        </w:rPr>
        <w:br/>
        <w:t>• Prevents small issues from becoming cash crises</w:t>
      </w:r>
      <w:r>
        <w:rPr>
          <w:color w:val="000000"/>
        </w:rPr>
        <w:br/>
        <w:t>• Improves decision confidence through timely visibility</w:t>
      </w:r>
      <w:r>
        <w:rPr>
          <w:color w:val="000000"/>
        </w:rPr>
        <w:br/>
        <w:t>• Creates scalable discipline that supports growth</w:t>
      </w:r>
    </w:p>
    <w:p w14:paraId="104A4866" w14:textId="77777777" w:rsidR="00A25672" w:rsidRDefault="00A25672" w:rsidP="00A25672">
      <w:pPr>
        <w:pStyle w:val="NormalWeb"/>
        <w:rPr>
          <w:color w:val="000000"/>
        </w:rPr>
      </w:pPr>
      <w:r w:rsidRPr="00A25672">
        <w:rPr>
          <w:b/>
          <w:bCs/>
          <w:color w:val="000000"/>
        </w:rPr>
        <w:t>Decision Support &amp; Strategic Cash Planning</w:t>
      </w:r>
      <w:r>
        <w:rPr>
          <w:color w:val="000000"/>
        </w:rPr>
        <w:br/>
        <w:t xml:space="preserve">This stage embeds cash as a decision filter for growth and operating </w:t>
      </w:r>
      <w:proofErr w:type="gramStart"/>
      <w:r>
        <w:rPr>
          <w:color w:val="000000"/>
        </w:rPr>
        <w:t>choices</w:t>
      </w:r>
      <w:proofErr w:type="gramEnd"/>
      <w:r>
        <w:rPr>
          <w:color w:val="000000"/>
        </w:rPr>
        <w:t xml:space="preserve"> so strategy remains executable within liquidity realities. We evaluate investments, hiring, expansion, and financing tradeoffs using scenario-based cash impact and timing implications. The result is better-aligned decisions, reduced risk on high-impact moves, and stronger sustainability of growth initiatives.</w:t>
      </w:r>
      <w:r>
        <w:rPr>
          <w:color w:val="000000"/>
        </w:rPr>
        <w:br/>
        <w:t>Purpose</w:t>
      </w:r>
      <w:r>
        <w:rPr>
          <w:color w:val="000000"/>
        </w:rPr>
        <w:br/>
        <w:t>• Evaluate investments, hiring, and growth decisions through a cash lens</w:t>
      </w:r>
      <w:r>
        <w:rPr>
          <w:color w:val="000000"/>
        </w:rPr>
        <w:br/>
        <w:t>• Assess financing options and liquidity tradeoffs where needed</w:t>
      </w:r>
      <w:r>
        <w:rPr>
          <w:color w:val="000000"/>
        </w:rPr>
        <w:br/>
        <w:t>• Embed cash considerations into ongoing planning</w:t>
      </w:r>
      <w:r>
        <w:rPr>
          <w:color w:val="000000"/>
        </w:rPr>
        <w:br/>
        <w:t>Why It Matters</w:t>
      </w:r>
      <w:r>
        <w:rPr>
          <w:color w:val="000000"/>
        </w:rPr>
        <w:br/>
        <w:t>• Reduces risk on high-impact decisions</w:t>
      </w:r>
      <w:r>
        <w:rPr>
          <w:color w:val="000000"/>
        </w:rPr>
        <w:br/>
        <w:t>• Improves sustainability of growth initiatives</w:t>
      </w:r>
      <w:r>
        <w:rPr>
          <w:color w:val="000000"/>
        </w:rPr>
        <w:br/>
        <w:t>• Strengthens alignment between strategy and liquidity realities</w:t>
      </w:r>
    </w:p>
    <w:p w14:paraId="48EB08DD" w14:textId="2E94B8CB" w:rsidR="008B4A63" w:rsidRPr="00A25672" w:rsidRDefault="008B4A63" w:rsidP="00A25672"/>
    <w:sectPr w:rsidR="008B4A63" w:rsidRPr="00A256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F00E00E"/>
    <w:lvl w:ilvl="0">
      <w:start w:val="1"/>
      <w:numFmt w:val="bullet"/>
      <w:pStyle w:val="ListBullet"/>
      <w:lvlText w:val=""/>
      <w:lvlJc w:val="left"/>
      <w:pPr>
        <w:tabs>
          <w:tab w:val="num" w:pos="360"/>
        </w:tabs>
        <w:ind w:left="360" w:hanging="360"/>
      </w:pPr>
      <w:rPr>
        <w:rFonts w:ascii="Symbol" w:hAnsi="Symbol" w:hint="default"/>
      </w:rPr>
    </w:lvl>
  </w:abstractNum>
  <w:num w:numId="1" w16cid:durableId="273560451">
    <w:abstractNumId w:val="8"/>
  </w:num>
  <w:num w:numId="2" w16cid:durableId="1341933986">
    <w:abstractNumId w:val="6"/>
  </w:num>
  <w:num w:numId="3" w16cid:durableId="1912428955">
    <w:abstractNumId w:val="5"/>
  </w:num>
  <w:num w:numId="4" w16cid:durableId="270090939">
    <w:abstractNumId w:val="4"/>
  </w:num>
  <w:num w:numId="5" w16cid:durableId="1264797803">
    <w:abstractNumId w:val="7"/>
  </w:num>
  <w:num w:numId="6" w16cid:durableId="536549345">
    <w:abstractNumId w:val="3"/>
  </w:num>
  <w:num w:numId="7" w16cid:durableId="1231305949">
    <w:abstractNumId w:val="2"/>
  </w:num>
  <w:num w:numId="8" w16cid:durableId="1919754558">
    <w:abstractNumId w:val="1"/>
  </w:num>
  <w:num w:numId="9" w16cid:durableId="1576742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4A63"/>
    <w:rsid w:val="00A25672"/>
    <w:rsid w:val="00AA1D8D"/>
    <w:rsid w:val="00B47730"/>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E2600"/>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56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793</Words>
  <Characters>5533</Characters>
  <Application>Microsoft Office Word</Application>
  <DocSecurity>0</DocSecurity>
  <Lines>134</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2026-02-01T20:30:00Z</dcterms:modified>
  <cp:category/>
</cp:coreProperties>
</file>