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73EE2" w14:textId="77777777" w:rsidR="00A06E12" w:rsidRDefault="00A06E12" w:rsidP="00A06E12">
      <w:pPr>
        <w:pStyle w:val="Heading2"/>
        <w:rPr>
          <w:color w:val="000000"/>
        </w:rPr>
      </w:pPr>
      <w:r>
        <w:rPr>
          <w:color w:val="000000"/>
        </w:rPr>
        <w:t>IPO Readiness Services – Quantum’s Public-Company Preparation Framework</w:t>
      </w:r>
    </w:p>
    <w:p w14:paraId="2C941B53" w14:textId="2D8DB490" w:rsidR="00A06E12" w:rsidRDefault="00A06E12" w:rsidP="00A06E12">
      <w:pPr>
        <w:pStyle w:val="Heading3"/>
        <w:rPr>
          <w:color w:val="000000"/>
        </w:rPr>
      </w:pPr>
      <w:r>
        <w:rPr>
          <w:color w:val="000000"/>
        </w:rPr>
        <w:t>Service Summary</w:t>
      </w:r>
    </w:p>
    <w:p w14:paraId="48E913F9" w14:textId="77777777" w:rsidR="00A06E12" w:rsidRDefault="00A06E12" w:rsidP="00A06E12">
      <w:pPr>
        <w:pStyle w:val="NormalWeb"/>
        <w:rPr>
          <w:color w:val="000000"/>
        </w:rPr>
      </w:pPr>
      <w:r>
        <w:rPr>
          <w:color w:val="000000"/>
        </w:rPr>
        <w:t>IPO Readiness Services prepare finance, governance, controls, and reporting for sustained public-company scrutiny. Organizations often underestimate the operational discipline required, leading to delays, control findings, and credibility risk. Quantum delivers a governance-first, control-driven readiness program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focusing on repeatable processes, documentation, and accountability. The outcome is a clear roadmap and execution discipline that improves readiness, reduces rework, and strengthens stakeholder confidence.</w:t>
      </w:r>
    </w:p>
    <w:p w14:paraId="30B0029D" w14:textId="77777777" w:rsidR="00A06E12" w:rsidRDefault="007F3430" w:rsidP="00A06E12">
      <w:r>
        <w:rPr>
          <w:noProof/>
        </w:rPr>
        <w:pict w14:anchorId="7B2EF2DA">
          <v:rect id="_x0000_i1031" alt="" style="width:398.75pt;height:.05pt;mso-width-percent:0;mso-height-percent:0;mso-width-percent:0;mso-height-percent:0" o:hrpct="852" o:hralign="center" o:hrstd="t" o:hr="t" fillcolor="#a0a0a0" stroked="f"/>
        </w:pict>
      </w:r>
    </w:p>
    <w:p w14:paraId="6B60FBA0" w14:textId="77777777" w:rsidR="00A06E12" w:rsidRDefault="00A06E12" w:rsidP="00A06E12">
      <w:pPr>
        <w:pStyle w:val="Heading3"/>
        <w:rPr>
          <w:color w:val="000000"/>
        </w:rPr>
      </w:pPr>
      <w:r>
        <w:rPr>
          <w:color w:val="000000"/>
        </w:rPr>
        <w:t>IPO Readiness Assessment &amp; Roadmap</w:t>
      </w:r>
    </w:p>
    <w:p w14:paraId="02A22AFB" w14:textId="77777777" w:rsidR="00A06E12" w:rsidRDefault="00A06E12" w:rsidP="00A06E12">
      <w:pPr>
        <w:pStyle w:val="NormalWeb"/>
        <w:rPr>
          <w:color w:val="000000"/>
        </w:rPr>
      </w:pPr>
      <w:r>
        <w:rPr>
          <w:color w:val="000000"/>
        </w:rPr>
        <w:t>This phase establishes a single source of truth for readiness by translating broad IPO requirements into a scoped, sequenced work plan. It also aligns expectations across workstreams by clarifying what “ready” means at each milestone and what evidence will be required to support it.</w:t>
      </w:r>
      <w:r>
        <w:rPr>
          <w:color w:val="000000"/>
        </w:rPr>
        <w:br/>
      </w:r>
      <w:r>
        <w:rPr>
          <w:rStyle w:val="Strong"/>
          <w:rFonts w:eastAsiaTheme="majorEastAsia"/>
          <w:color w:val="000000"/>
        </w:rPr>
        <w:t>Purpose</w:t>
      </w:r>
    </w:p>
    <w:p w14:paraId="22578A6B" w14:textId="77777777" w:rsidR="00A06E12" w:rsidRDefault="00A06E12" w:rsidP="00A06E12">
      <w:pPr>
        <w:pStyle w:val="NormalWeb"/>
        <w:numPr>
          <w:ilvl w:val="0"/>
          <w:numId w:val="10"/>
        </w:numPr>
        <w:rPr>
          <w:color w:val="000000"/>
        </w:rPr>
      </w:pPr>
      <w:r>
        <w:rPr>
          <w:color w:val="000000"/>
        </w:rPr>
        <w:t>Assess current-state maturity across reporting, controls, governance, and systems</w:t>
      </w:r>
    </w:p>
    <w:p w14:paraId="1365FD4C" w14:textId="77777777" w:rsidR="00A06E12" w:rsidRDefault="00A06E12" w:rsidP="00A06E12">
      <w:pPr>
        <w:pStyle w:val="NormalWeb"/>
        <w:numPr>
          <w:ilvl w:val="0"/>
          <w:numId w:val="10"/>
        </w:numPr>
        <w:rPr>
          <w:color w:val="000000"/>
        </w:rPr>
      </w:pPr>
      <w:r>
        <w:rPr>
          <w:color w:val="000000"/>
        </w:rPr>
        <w:t>Identify readiness gaps and prioritize remediation by impact and timeline</w:t>
      </w:r>
    </w:p>
    <w:p w14:paraId="4AB30F98" w14:textId="77777777" w:rsidR="00A06E12" w:rsidRDefault="00A06E12" w:rsidP="00A06E12">
      <w:pPr>
        <w:pStyle w:val="NormalWeb"/>
        <w:numPr>
          <w:ilvl w:val="0"/>
          <w:numId w:val="10"/>
        </w:numPr>
        <w:rPr>
          <w:color w:val="000000"/>
        </w:rPr>
      </w:pPr>
      <w:r>
        <w:rPr>
          <w:color w:val="000000"/>
        </w:rPr>
        <w:t>Deliver a phased roadmap with ownership and milestones</w:t>
      </w:r>
    </w:p>
    <w:p w14:paraId="526A22E5" w14:textId="77777777" w:rsidR="00A06E12" w:rsidRDefault="00A06E12" w:rsidP="00A06E12">
      <w:pPr>
        <w:pStyle w:val="NormalWeb"/>
        <w:rPr>
          <w:color w:val="000000"/>
        </w:rPr>
      </w:pPr>
      <w:r>
        <w:rPr>
          <w:rStyle w:val="Strong"/>
          <w:rFonts w:eastAsiaTheme="majorEastAsia"/>
          <w:color w:val="000000"/>
        </w:rPr>
        <w:t>Why It Matters</w:t>
      </w:r>
    </w:p>
    <w:p w14:paraId="4CC97B84" w14:textId="77777777" w:rsidR="00A06E12" w:rsidRDefault="00A06E12" w:rsidP="00A06E12">
      <w:pPr>
        <w:pStyle w:val="NormalWeb"/>
        <w:numPr>
          <w:ilvl w:val="0"/>
          <w:numId w:val="11"/>
        </w:numPr>
        <w:rPr>
          <w:color w:val="000000"/>
        </w:rPr>
      </w:pPr>
      <w:r>
        <w:rPr>
          <w:color w:val="000000"/>
        </w:rPr>
        <w:t>Prevents late-cycle surprises that derail timelines</w:t>
      </w:r>
    </w:p>
    <w:p w14:paraId="68944600" w14:textId="77777777" w:rsidR="00A06E12" w:rsidRDefault="00A06E12" w:rsidP="00A06E12">
      <w:pPr>
        <w:pStyle w:val="NormalWeb"/>
        <w:numPr>
          <w:ilvl w:val="0"/>
          <w:numId w:val="11"/>
        </w:numPr>
        <w:rPr>
          <w:color w:val="000000"/>
        </w:rPr>
      </w:pPr>
      <w:r>
        <w:rPr>
          <w:color w:val="000000"/>
        </w:rPr>
        <w:t>Improves alignment across stakeholders and workstreams</w:t>
      </w:r>
    </w:p>
    <w:p w14:paraId="1B4E600B" w14:textId="77777777" w:rsidR="00A06E12" w:rsidRDefault="00A06E12" w:rsidP="00A06E12">
      <w:pPr>
        <w:pStyle w:val="NormalWeb"/>
        <w:numPr>
          <w:ilvl w:val="0"/>
          <w:numId w:val="11"/>
        </w:numPr>
        <w:rPr>
          <w:color w:val="000000"/>
        </w:rPr>
      </w:pPr>
      <w:r>
        <w:rPr>
          <w:color w:val="000000"/>
        </w:rPr>
        <w:t>Creates a controlled plan with clear accountability</w:t>
      </w:r>
    </w:p>
    <w:p w14:paraId="28C74B02" w14:textId="77777777" w:rsidR="00A06E12" w:rsidRDefault="007F3430" w:rsidP="00A06E12">
      <w:r>
        <w:rPr>
          <w:noProof/>
        </w:rPr>
        <w:pict w14:anchorId="545A40C6">
          <v:rect id="_x0000_i1030" alt="" style="width:431.95pt;height:.05pt;mso-width-percent:0;mso-height-percent:0;mso-width-percent:0;mso-height-percent:0" o:hrpct="923" o:hralign="center" o:hrstd="t" o:hr="t" fillcolor="#a0a0a0" stroked="f"/>
        </w:pict>
      </w:r>
    </w:p>
    <w:p w14:paraId="00954A5F" w14:textId="77777777" w:rsidR="00A06E12" w:rsidRDefault="00A06E12" w:rsidP="00A06E12">
      <w:pPr>
        <w:pStyle w:val="Heading3"/>
        <w:rPr>
          <w:color w:val="000000"/>
        </w:rPr>
      </w:pPr>
      <w:r>
        <w:rPr>
          <w:color w:val="000000"/>
        </w:rPr>
        <w:t>Financial Reporting &amp; Accounting Readiness</w:t>
      </w:r>
    </w:p>
    <w:p w14:paraId="7A52CC4A" w14:textId="77777777" w:rsidR="00A06E12" w:rsidRDefault="00A06E12" w:rsidP="00A06E12">
      <w:pPr>
        <w:pStyle w:val="NormalWeb"/>
        <w:rPr>
          <w:color w:val="000000"/>
        </w:rPr>
      </w:pPr>
      <w:r>
        <w:rPr>
          <w:color w:val="000000"/>
        </w:rPr>
        <w:t>This phase strengthens the reliability of externally scrutinized reporting by ensuring policies, estimates, and close outputs can be explained consistently period over period. It also establishes disciplined documentation and review routines so accounting conclusions are defensible without relying on institutional memory.</w:t>
      </w:r>
      <w:r>
        <w:rPr>
          <w:color w:val="000000"/>
        </w:rPr>
        <w:br/>
      </w:r>
      <w:r>
        <w:rPr>
          <w:rStyle w:val="Strong"/>
          <w:rFonts w:eastAsiaTheme="majorEastAsia"/>
          <w:color w:val="000000"/>
        </w:rPr>
        <w:t>Purpose</w:t>
      </w:r>
    </w:p>
    <w:p w14:paraId="55743269" w14:textId="77777777" w:rsidR="00A06E12" w:rsidRDefault="00A06E12" w:rsidP="00A06E12">
      <w:pPr>
        <w:pStyle w:val="NormalWeb"/>
        <w:numPr>
          <w:ilvl w:val="0"/>
          <w:numId w:val="12"/>
        </w:numPr>
        <w:rPr>
          <w:color w:val="000000"/>
        </w:rPr>
      </w:pPr>
      <w:r>
        <w:rPr>
          <w:color w:val="000000"/>
        </w:rPr>
        <w:t>Evaluate reporting cadence, close discipline, and policy alignment</w:t>
      </w:r>
    </w:p>
    <w:p w14:paraId="65BED15D" w14:textId="77777777" w:rsidR="00A06E12" w:rsidRDefault="00A06E12" w:rsidP="00A06E12">
      <w:pPr>
        <w:pStyle w:val="NormalWeb"/>
        <w:numPr>
          <w:ilvl w:val="0"/>
          <w:numId w:val="12"/>
        </w:numPr>
        <w:rPr>
          <w:color w:val="000000"/>
        </w:rPr>
      </w:pPr>
      <w:r>
        <w:rPr>
          <w:color w:val="000000"/>
        </w:rPr>
        <w:t>Assess historical financial readiness and required adjustments</w:t>
      </w:r>
    </w:p>
    <w:p w14:paraId="6472DA37" w14:textId="77777777" w:rsidR="00A06E12" w:rsidRDefault="00A06E12" w:rsidP="00A06E12">
      <w:pPr>
        <w:pStyle w:val="NormalWeb"/>
        <w:numPr>
          <w:ilvl w:val="0"/>
          <w:numId w:val="12"/>
        </w:numPr>
        <w:rPr>
          <w:color w:val="000000"/>
        </w:rPr>
      </w:pPr>
      <w:r>
        <w:rPr>
          <w:color w:val="000000"/>
        </w:rPr>
        <w:t>Define documentation standards to support audits and filings</w:t>
      </w:r>
    </w:p>
    <w:p w14:paraId="252A4C5E" w14:textId="77777777" w:rsidR="00A06E12" w:rsidRDefault="00A06E12" w:rsidP="00A06E12">
      <w:pPr>
        <w:pStyle w:val="NormalWeb"/>
        <w:rPr>
          <w:color w:val="000000"/>
        </w:rPr>
      </w:pPr>
      <w:r>
        <w:rPr>
          <w:rStyle w:val="Strong"/>
          <w:rFonts w:eastAsiaTheme="majorEastAsia"/>
          <w:color w:val="000000"/>
        </w:rPr>
        <w:lastRenderedPageBreak/>
        <w:t>Why It Matters</w:t>
      </w:r>
    </w:p>
    <w:p w14:paraId="62C08A90" w14:textId="77777777" w:rsidR="00A06E12" w:rsidRDefault="00A06E12" w:rsidP="00A06E12">
      <w:pPr>
        <w:pStyle w:val="NormalWeb"/>
        <w:numPr>
          <w:ilvl w:val="0"/>
          <w:numId w:val="13"/>
        </w:numPr>
        <w:rPr>
          <w:color w:val="000000"/>
        </w:rPr>
      </w:pPr>
      <w:r>
        <w:rPr>
          <w:color w:val="000000"/>
        </w:rPr>
        <w:t>Strengthens credibility through reliable, consistent financial reporting</w:t>
      </w:r>
    </w:p>
    <w:p w14:paraId="0F909D0B" w14:textId="77777777" w:rsidR="00A06E12" w:rsidRDefault="00A06E12" w:rsidP="00A06E12">
      <w:pPr>
        <w:pStyle w:val="NormalWeb"/>
        <w:numPr>
          <w:ilvl w:val="0"/>
          <w:numId w:val="13"/>
        </w:numPr>
        <w:rPr>
          <w:color w:val="000000"/>
        </w:rPr>
      </w:pPr>
      <w:r>
        <w:rPr>
          <w:color w:val="000000"/>
        </w:rPr>
        <w:t>Reduces audit friction and rework</w:t>
      </w:r>
    </w:p>
    <w:p w14:paraId="39E56399" w14:textId="77777777" w:rsidR="00A06E12" w:rsidRDefault="00A06E12" w:rsidP="00A06E12">
      <w:pPr>
        <w:pStyle w:val="NormalWeb"/>
        <w:numPr>
          <w:ilvl w:val="0"/>
          <w:numId w:val="13"/>
        </w:numPr>
        <w:rPr>
          <w:color w:val="000000"/>
        </w:rPr>
      </w:pPr>
      <w:r>
        <w:rPr>
          <w:color w:val="000000"/>
        </w:rPr>
        <w:t>Improves confidence in externally scrutinized results</w:t>
      </w:r>
    </w:p>
    <w:p w14:paraId="302AABB1" w14:textId="77777777" w:rsidR="00A06E12" w:rsidRDefault="007F3430" w:rsidP="00A06E12">
      <w:r>
        <w:rPr>
          <w:noProof/>
        </w:rPr>
        <w:pict w14:anchorId="7D62F01E">
          <v:rect id="_x0000_i1029" alt="" style="width:431.95pt;height:.05pt;mso-width-percent:0;mso-height-percent:0;mso-width-percent:0;mso-height-percent:0" o:hrpct="923" o:hralign="center" o:hrstd="t" o:hr="t" fillcolor="#a0a0a0" stroked="f"/>
        </w:pict>
      </w:r>
    </w:p>
    <w:p w14:paraId="7009673C" w14:textId="77777777" w:rsidR="00A06E12" w:rsidRDefault="00A06E12" w:rsidP="00A06E12">
      <w:pPr>
        <w:pStyle w:val="Heading3"/>
        <w:rPr>
          <w:color w:val="000000"/>
        </w:rPr>
      </w:pPr>
      <w:r>
        <w:rPr>
          <w:color w:val="000000"/>
        </w:rPr>
        <w:t>Internal Controls &amp; SOX Readiness</w:t>
      </w:r>
    </w:p>
    <w:p w14:paraId="33CA6302" w14:textId="77777777" w:rsidR="00A06E12" w:rsidRDefault="00A06E12" w:rsidP="00A06E12">
      <w:pPr>
        <w:pStyle w:val="NormalWeb"/>
        <w:rPr>
          <w:color w:val="000000"/>
        </w:rPr>
      </w:pPr>
      <w:r>
        <w:rPr>
          <w:color w:val="000000"/>
        </w:rPr>
        <w:t>This phase designs control discipline that is sustainable—not a one-time “project”—by defining how controls will be owned, executed, evidenced, and reviewed at scale. It also establishes a consistent evidence model so testing results and control performance are explainable under audit and stakeholder scrutiny.</w:t>
      </w:r>
      <w:r>
        <w:rPr>
          <w:color w:val="000000"/>
        </w:rPr>
        <w:br/>
      </w:r>
      <w:r>
        <w:rPr>
          <w:rStyle w:val="Strong"/>
          <w:rFonts w:eastAsiaTheme="majorEastAsia"/>
          <w:color w:val="000000"/>
        </w:rPr>
        <w:t>Purpose</w:t>
      </w:r>
    </w:p>
    <w:p w14:paraId="76450117" w14:textId="77777777" w:rsidR="00A06E12" w:rsidRDefault="00A06E12" w:rsidP="00A06E12">
      <w:pPr>
        <w:pStyle w:val="NormalWeb"/>
        <w:numPr>
          <w:ilvl w:val="0"/>
          <w:numId w:val="14"/>
        </w:numPr>
        <w:rPr>
          <w:color w:val="000000"/>
        </w:rPr>
      </w:pPr>
      <w:r>
        <w:rPr>
          <w:color w:val="000000"/>
        </w:rPr>
        <w:t>Document processes and control design aligned to public-company expectations</w:t>
      </w:r>
    </w:p>
    <w:p w14:paraId="5047C67E" w14:textId="77777777" w:rsidR="00A06E12" w:rsidRDefault="00A06E12" w:rsidP="00A06E12">
      <w:pPr>
        <w:pStyle w:val="NormalWeb"/>
        <w:numPr>
          <w:ilvl w:val="0"/>
          <w:numId w:val="14"/>
        </w:numPr>
        <w:rPr>
          <w:color w:val="000000"/>
        </w:rPr>
      </w:pPr>
      <w:r>
        <w:rPr>
          <w:color w:val="000000"/>
        </w:rPr>
        <w:t>Assess readiness gaps and support remediation planning</w:t>
      </w:r>
    </w:p>
    <w:p w14:paraId="6C96A244" w14:textId="77777777" w:rsidR="00A06E12" w:rsidRDefault="00A06E12" w:rsidP="00A06E12">
      <w:pPr>
        <w:pStyle w:val="NormalWeb"/>
        <w:numPr>
          <w:ilvl w:val="0"/>
          <w:numId w:val="14"/>
        </w:numPr>
        <w:rPr>
          <w:color w:val="000000"/>
        </w:rPr>
      </w:pPr>
      <w:r>
        <w:rPr>
          <w:color w:val="000000"/>
        </w:rPr>
        <w:t>Prepare for sustainable testing and evidence discipline</w:t>
      </w:r>
    </w:p>
    <w:p w14:paraId="69DC0A61" w14:textId="77777777" w:rsidR="00A06E12" w:rsidRDefault="00A06E12" w:rsidP="00A06E12">
      <w:pPr>
        <w:pStyle w:val="NormalWeb"/>
        <w:rPr>
          <w:color w:val="000000"/>
        </w:rPr>
      </w:pPr>
      <w:r>
        <w:rPr>
          <w:rStyle w:val="Strong"/>
          <w:rFonts w:eastAsiaTheme="majorEastAsia"/>
          <w:color w:val="000000"/>
        </w:rPr>
        <w:t>Why It Matters</w:t>
      </w:r>
    </w:p>
    <w:p w14:paraId="398718DC" w14:textId="77777777" w:rsidR="00A06E12" w:rsidRDefault="00A06E12" w:rsidP="00A06E12">
      <w:pPr>
        <w:pStyle w:val="NormalWeb"/>
        <w:numPr>
          <w:ilvl w:val="0"/>
          <w:numId w:val="15"/>
        </w:numPr>
        <w:rPr>
          <w:color w:val="000000"/>
        </w:rPr>
      </w:pPr>
      <w:r>
        <w:rPr>
          <w:color w:val="000000"/>
        </w:rPr>
        <w:t>Reduces control failures that can delay or damage credibility</w:t>
      </w:r>
    </w:p>
    <w:p w14:paraId="0ED17FCC" w14:textId="77777777" w:rsidR="00A06E12" w:rsidRDefault="00A06E12" w:rsidP="00A06E12">
      <w:pPr>
        <w:pStyle w:val="NormalWeb"/>
        <w:numPr>
          <w:ilvl w:val="0"/>
          <w:numId w:val="15"/>
        </w:numPr>
        <w:rPr>
          <w:color w:val="000000"/>
        </w:rPr>
      </w:pPr>
      <w:r>
        <w:rPr>
          <w:color w:val="000000"/>
        </w:rPr>
        <w:t>Improves audit defensibility through documented controls</w:t>
      </w:r>
    </w:p>
    <w:p w14:paraId="162080B7" w14:textId="77777777" w:rsidR="00A06E12" w:rsidRDefault="00A06E12" w:rsidP="00A06E12">
      <w:pPr>
        <w:pStyle w:val="NormalWeb"/>
        <w:numPr>
          <w:ilvl w:val="0"/>
          <w:numId w:val="15"/>
        </w:numPr>
        <w:rPr>
          <w:color w:val="000000"/>
        </w:rPr>
      </w:pPr>
      <w:r>
        <w:rPr>
          <w:color w:val="000000"/>
        </w:rPr>
        <w:t>Creates scalable discipline that supports long-term compliance</w:t>
      </w:r>
    </w:p>
    <w:p w14:paraId="77F6AA85" w14:textId="77777777" w:rsidR="00A06E12" w:rsidRDefault="00A06E12" w:rsidP="00A06E12">
      <w:pPr>
        <w:pStyle w:val="NormalWeb"/>
        <w:rPr>
          <w:color w:val="000000"/>
        </w:rPr>
      </w:pPr>
      <w:r>
        <w:rPr>
          <w:rStyle w:val="Strong"/>
          <w:rFonts w:eastAsiaTheme="majorEastAsia"/>
          <w:color w:val="000000"/>
        </w:rPr>
        <w:t>Optional Framework Reference</w:t>
      </w:r>
    </w:p>
    <w:p w14:paraId="4CF89971" w14:textId="77777777" w:rsidR="00A06E12" w:rsidRDefault="00A06E12" w:rsidP="00A06E12">
      <w:pPr>
        <w:pStyle w:val="NormalWeb"/>
        <w:numPr>
          <w:ilvl w:val="0"/>
          <w:numId w:val="16"/>
        </w:numPr>
        <w:rPr>
          <w:color w:val="000000"/>
        </w:rPr>
      </w:pPr>
      <w:r>
        <w:rPr>
          <w:color w:val="000000"/>
        </w:rPr>
        <w:t>COSO Internal Control principles to support SOX-aligned control maturity</w:t>
      </w:r>
    </w:p>
    <w:p w14:paraId="782357E4" w14:textId="77777777" w:rsidR="00A06E12" w:rsidRDefault="007F3430" w:rsidP="00A06E12">
      <w:r>
        <w:rPr>
          <w:noProof/>
        </w:rPr>
        <w:pict w14:anchorId="0B96BD1C">
          <v:rect id="_x0000_i1028" alt="" style="width:431.95pt;height:.05pt;mso-width-percent:0;mso-height-percent:0;mso-width-percent:0;mso-height-percent:0" o:hrpct="923" o:hralign="center" o:hrstd="t" o:hr="t" fillcolor="#a0a0a0" stroked="f"/>
        </w:pict>
      </w:r>
    </w:p>
    <w:p w14:paraId="7EEFCFD8" w14:textId="77777777" w:rsidR="00A06E12" w:rsidRDefault="00A06E12" w:rsidP="00A06E12">
      <w:pPr>
        <w:pStyle w:val="Heading3"/>
        <w:rPr>
          <w:color w:val="000000"/>
        </w:rPr>
      </w:pPr>
      <w:r>
        <w:rPr>
          <w:color w:val="000000"/>
        </w:rPr>
        <w:t>Governance, Policies &amp; Organizational Readiness</w:t>
      </w:r>
    </w:p>
    <w:p w14:paraId="510581A3" w14:textId="77777777" w:rsidR="00A06E12" w:rsidRDefault="00A06E12" w:rsidP="00A06E12">
      <w:pPr>
        <w:pStyle w:val="NormalWeb"/>
        <w:rPr>
          <w:color w:val="000000"/>
        </w:rPr>
      </w:pPr>
      <w:r>
        <w:rPr>
          <w:color w:val="000000"/>
        </w:rPr>
        <w:t>This phase establishes the governance operating model—decision rights, escalation, approvals, and oversight—so accountability is clear when public-company expectations intensify. It also standardizes policy discipline and transparency routines so governance remains consistent as the organization scales and responsibilities shift.</w:t>
      </w:r>
      <w:r>
        <w:rPr>
          <w:color w:val="000000"/>
        </w:rPr>
        <w:br/>
      </w:r>
      <w:r>
        <w:rPr>
          <w:rStyle w:val="Strong"/>
          <w:rFonts w:eastAsiaTheme="majorEastAsia"/>
          <w:color w:val="000000"/>
        </w:rPr>
        <w:t>Purpose</w:t>
      </w:r>
    </w:p>
    <w:p w14:paraId="5B4B20E8" w14:textId="77777777" w:rsidR="00A06E12" w:rsidRDefault="00A06E12" w:rsidP="00A06E12">
      <w:pPr>
        <w:pStyle w:val="NormalWeb"/>
        <w:numPr>
          <w:ilvl w:val="0"/>
          <w:numId w:val="17"/>
        </w:numPr>
        <w:rPr>
          <w:color w:val="000000"/>
        </w:rPr>
      </w:pPr>
      <w:r>
        <w:rPr>
          <w:color w:val="000000"/>
        </w:rPr>
        <w:t>Assess governance structures, policies, and accountability mechanisms</w:t>
      </w:r>
    </w:p>
    <w:p w14:paraId="6C3A4430" w14:textId="77777777" w:rsidR="00A06E12" w:rsidRDefault="00A06E12" w:rsidP="00A06E12">
      <w:pPr>
        <w:pStyle w:val="NormalWeb"/>
        <w:numPr>
          <w:ilvl w:val="0"/>
          <w:numId w:val="17"/>
        </w:numPr>
        <w:rPr>
          <w:color w:val="000000"/>
        </w:rPr>
      </w:pPr>
      <w:r>
        <w:rPr>
          <w:color w:val="000000"/>
        </w:rPr>
        <w:t>Define operating discipline for transparency and oversight</w:t>
      </w:r>
    </w:p>
    <w:p w14:paraId="1256D276" w14:textId="77777777" w:rsidR="00A06E12" w:rsidRDefault="00A06E12" w:rsidP="00A06E12">
      <w:pPr>
        <w:pStyle w:val="NormalWeb"/>
        <w:numPr>
          <w:ilvl w:val="0"/>
          <w:numId w:val="17"/>
        </w:numPr>
        <w:rPr>
          <w:color w:val="000000"/>
        </w:rPr>
      </w:pPr>
      <w:r>
        <w:rPr>
          <w:color w:val="000000"/>
        </w:rPr>
        <w:t>Align responsibilities and escalation paths for readiness execution</w:t>
      </w:r>
    </w:p>
    <w:p w14:paraId="27D4B76F" w14:textId="77777777" w:rsidR="00A06E12" w:rsidRDefault="00A06E12" w:rsidP="00A06E12">
      <w:pPr>
        <w:pStyle w:val="NormalWeb"/>
        <w:rPr>
          <w:color w:val="000000"/>
        </w:rPr>
      </w:pPr>
      <w:r>
        <w:rPr>
          <w:rStyle w:val="Strong"/>
          <w:rFonts w:eastAsiaTheme="majorEastAsia"/>
          <w:color w:val="000000"/>
        </w:rPr>
        <w:t>Why It Matters</w:t>
      </w:r>
    </w:p>
    <w:p w14:paraId="268DEA81" w14:textId="77777777" w:rsidR="00A06E12" w:rsidRDefault="00A06E12" w:rsidP="00A06E12">
      <w:pPr>
        <w:pStyle w:val="NormalWeb"/>
        <w:numPr>
          <w:ilvl w:val="0"/>
          <w:numId w:val="18"/>
        </w:numPr>
        <w:rPr>
          <w:color w:val="000000"/>
        </w:rPr>
      </w:pPr>
      <w:r>
        <w:rPr>
          <w:color w:val="000000"/>
        </w:rPr>
        <w:lastRenderedPageBreak/>
        <w:t>Reduces regulatory and reputational risk</w:t>
      </w:r>
    </w:p>
    <w:p w14:paraId="2D6A0DCA" w14:textId="77777777" w:rsidR="00A06E12" w:rsidRDefault="00A06E12" w:rsidP="00A06E12">
      <w:pPr>
        <w:pStyle w:val="NormalWeb"/>
        <w:numPr>
          <w:ilvl w:val="0"/>
          <w:numId w:val="18"/>
        </w:numPr>
        <w:rPr>
          <w:color w:val="000000"/>
        </w:rPr>
      </w:pPr>
      <w:r>
        <w:rPr>
          <w:color w:val="000000"/>
        </w:rPr>
        <w:t>Improves stakeholder confidence in oversight and accountability</w:t>
      </w:r>
    </w:p>
    <w:p w14:paraId="589FB754" w14:textId="77777777" w:rsidR="00A06E12" w:rsidRDefault="00A06E12" w:rsidP="00A06E12">
      <w:pPr>
        <w:pStyle w:val="NormalWeb"/>
        <w:numPr>
          <w:ilvl w:val="0"/>
          <w:numId w:val="18"/>
        </w:numPr>
        <w:rPr>
          <w:color w:val="000000"/>
        </w:rPr>
      </w:pPr>
      <w:r>
        <w:rPr>
          <w:color w:val="000000"/>
        </w:rPr>
        <w:t>Creates a stable governance foundation for public-company operations</w:t>
      </w:r>
    </w:p>
    <w:p w14:paraId="0248ED28" w14:textId="77777777" w:rsidR="00A06E12" w:rsidRDefault="007F3430" w:rsidP="00A06E12">
      <w:r>
        <w:rPr>
          <w:noProof/>
        </w:rPr>
        <w:pict w14:anchorId="1AAD88D0">
          <v:rect id="_x0000_i1027" alt="" style="width:431.95pt;height:.05pt;mso-width-percent:0;mso-height-percent:0;mso-width-percent:0;mso-height-percent:0" o:hrpct="923" o:hralign="center" o:hrstd="t" o:hr="t" fillcolor="#a0a0a0" stroked="f"/>
        </w:pict>
      </w:r>
    </w:p>
    <w:p w14:paraId="42BED0A0" w14:textId="77777777" w:rsidR="00A06E12" w:rsidRDefault="00A06E12" w:rsidP="00A06E12">
      <w:pPr>
        <w:pStyle w:val="Heading3"/>
        <w:rPr>
          <w:color w:val="000000"/>
        </w:rPr>
      </w:pPr>
      <w:r>
        <w:rPr>
          <w:color w:val="000000"/>
        </w:rPr>
        <w:t>Systems, Data &amp; Process Scalability</w:t>
      </w:r>
    </w:p>
    <w:p w14:paraId="2D5673B4" w14:textId="77777777" w:rsidR="00A06E12" w:rsidRDefault="00A06E12" w:rsidP="00A06E12">
      <w:pPr>
        <w:pStyle w:val="NormalWeb"/>
        <w:rPr>
          <w:color w:val="000000"/>
        </w:rPr>
      </w:pPr>
      <w:r>
        <w:rPr>
          <w:color w:val="000000"/>
        </w:rPr>
        <w:t>This phase validates whether the operating environment can produce repeatable, audit-ready outputs under volume, complexity, and accelerated reporting timelines. It also identifies where manual workarounds and weak data lineage create disclosure and control risk, then defines practical improvements to reduce dependency on heroics.</w:t>
      </w:r>
      <w:r>
        <w:rPr>
          <w:color w:val="000000"/>
        </w:rPr>
        <w:br/>
      </w:r>
      <w:r>
        <w:rPr>
          <w:rStyle w:val="Strong"/>
          <w:rFonts w:eastAsiaTheme="majorEastAsia"/>
          <w:color w:val="000000"/>
        </w:rPr>
        <w:t>Purpose</w:t>
      </w:r>
    </w:p>
    <w:p w14:paraId="68A1883F" w14:textId="77777777" w:rsidR="00A06E12" w:rsidRDefault="00A06E12" w:rsidP="00A06E12">
      <w:pPr>
        <w:pStyle w:val="NormalWeb"/>
        <w:numPr>
          <w:ilvl w:val="0"/>
          <w:numId w:val="19"/>
        </w:numPr>
        <w:rPr>
          <w:color w:val="000000"/>
        </w:rPr>
      </w:pPr>
      <w:r>
        <w:rPr>
          <w:color w:val="000000"/>
        </w:rPr>
        <w:t>Evaluate whether systems and data processes support scaled reporting needs</w:t>
      </w:r>
    </w:p>
    <w:p w14:paraId="17F4BA25" w14:textId="77777777" w:rsidR="00A06E12" w:rsidRDefault="00A06E12" w:rsidP="00A06E12">
      <w:pPr>
        <w:pStyle w:val="NormalWeb"/>
        <w:numPr>
          <w:ilvl w:val="0"/>
          <w:numId w:val="19"/>
        </w:numPr>
        <w:rPr>
          <w:color w:val="000000"/>
        </w:rPr>
      </w:pPr>
      <w:r>
        <w:rPr>
          <w:color w:val="000000"/>
        </w:rPr>
        <w:t>Identify data integrity risks and process bottlenecks</w:t>
      </w:r>
    </w:p>
    <w:p w14:paraId="2295EE71" w14:textId="77777777" w:rsidR="00A06E12" w:rsidRDefault="00A06E12" w:rsidP="00A06E12">
      <w:pPr>
        <w:pStyle w:val="NormalWeb"/>
        <w:numPr>
          <w:ilvl w:val="0"/>
          <w:numId w:val="19"/>
        </w:numPr>
        <w:rPr>
          <w:color w:val="000000"/>
        </w:rPr>
      </w:pPr>
      <w:r>
        <w:rPr>
          <w:color w:val="000000"/>
        </w:rPr>
        <w:t>Define improvements that enhance auditability and repeatability</w:t>
      </w:r>
    </w:p>
    <w:p w14:paraId="6CE92616" w14:textId="77777777" w:rsidR="00A06E12" w:rsidRDefault="00A06E12" w:rsidP="00A06E12">
      <w:pPr>
        <w:pStyle w:val="NormalWeb"/>
        <w:rPr>
          <w:color w:val="000000"/>
        </w:rPr>
      </w:pPr>
      <w:r>
        <w:rPr>
          <w:rStyle w:val="Strong"/>
          <w:rFonts w:eastAsiaTheme="majorEastAsia"/>
          <w:color w:val="000000"/>
        </w:rPr>
        <w:t>Why It Matters</w:t>
      </w:r>
    </w:p>
    <w:p w14:paraId="47670D4F" w14:textId="77777777" w:rsidR="00A06E12" w:rsidRDefault="00A06E12" w:rsidP="00A06E12">
      <w:pPr>
        <w:pStyle w:val="NormalWeb"/>
        <w:numPr>
          <w:ilvl w:val="0"/>
          <w:numId w:val="20"/>
        </w:numPr>
        <w:rPr>
          <w:color w:val="000000"/>
        </w:rPr>
      </w:pPr>
      <w:r>
        <w:rPr>
          <w:color w:val="000000"/>
        </w:rPr>
        <w:t>Prevents manual processes from becoming failure points under scrutiny</w:t>
      </w:r>
    </w:p>
    <w:p w14:paraId="57765827" w14:textId="77777777" w:rsidR="00A06E12" w:rsidRDefault="00A06E12" w:rsidP="00A06E12">
      <w:pPr>
        <w:pStyle w:val="NormalWeb"/>
        <w:numPr>
          <w:ilvl w:val="0"/>
          <w:numId w:val="20"/>
        </w:numPr>
        <w:rPr>
          <w:color w:val="000000"/>
        </w:rPr>
      </w:pPr>
      <w:r>
        <w:rPr>
          <w:color w:val="000000"/>
        </w:rPr>
        <w:t>Improves reliability of reporting and disclosures</w:t>
      </w:r>
    </w:p>
    <w:p w14:paraId="7220C2CE" w14:textId="77777777" w:rsidR="00A06E12" w:rsidRDefault="00A06E12" w:rsidP="00A06E12">
      <w:pPr>
        <w:pStyle w:val="NormalWeb"/>
        <w:numPr>
          <w:ilvl w:val="0"/>
          <w:numId w:val="20"/>
        </w:numPr>
        <w:rPr>
          <w:color w:val="000000"/>
        </w:rPr>
      </w:pPr>
      <w:r>
        <w:rPr>
          <w:color w:val="000000"/>
        </w:rPr>
        <w:t>Reduces long-term cost and operational risk</w:t>
      </w:r>
    </w:p>
    <w:p w14:paraId="6DDE5597" w14:textId="77777777" w:rsidR="00A06E12" w:rsidRDefault="007F3430" w:rsidP="00A06E12">
      <w:r>
        <w:rPr>
          <w:noProof/>
        </w:rPr>
        <w:pict w14:anchorId="0A573051">
          <v:rect id="_x0000_i1026" alt="" style="width:431.95pt;height:.05pt;mso-width-percent:0;mso-height-percent:0;mso-width-percent:0;mso-height-percent:0" o:hrpct="923" o:hralign="center" o:hrstd="t" o:hr="t" fillcolor="#a0a0a0" stroked="f"/>
        </w:pict>
      </w:r>
    </w:p>
    <w:p w14:paraId="05866C55" w14:textId="77777777" w:rsidR="00A06E12" w:rsidRDefault="00A06E12" w:rsidP="00A06E12">
      <w:pPr>
        <w:pStyle w:val="Heading3"/>
        <w:rPr>
          <w:color w:val="000000"/>
        </w:rPr>
      </w:pPr>
      <w:r>
        <w:rPr>
          <w:color w:val="000000"/>
        </w:rPr>
        <w:t>Audit, Advisor &amp; Stakeholder Coordination</w:t>
      </w:r>
    </w:p>
    <w:p w14:paraId="10F6B0B4" w14:textId="77777777" w:rsidR="00A06E12" w:rsidRDefault="00A06E12" w:rsidP="00A06E12">
      <w:pPr>
        <w:pStyle w:val="NormalWeb"/>
        <w:rPr>
          <w:color w:val="000000"/>
        </w:rPr>
      </w:pPr>
      <w:r>
        <w:rPr>
          <w:color w:val="000000"/>
        </w:rPr>
        <w:t>This phase creates execution discipline across multiple parties by defining deliverables, dependencies, and decision checkpoints that keep workstreams synchronized. It also enforces communication control—issue tracking, status visibility, and escalation pathways—so risk does not accumulate silently near critical deadlines.</w:t>
      </w:r>
      <w:r>
        <w:rPr>
          <w:color w:val="000000"/>
        </w:rPr>
        <w:br/>
      </w:r>
      <w:r>
        <w:rPr>
          <w:rStyle w:val="Strong"/>
          <w:rFonts w:eastAsiaTheme="majorEastAsia"/>
          <w:color w:val="000000"/>
        </w:rPr>
        <w:t>Purpose</w:t>
      </w:r>
    </w:p>
    <w:p w14:paraId="62E5A93A" w14:textId="77777777" w:rsidR="00A06E12" w:rsidRDefault="00A06E12" w:rsidP="00A06E12">
      <w:pPr>
        <w:pStyle w:val="NormalWeb"/>
        <w:numPr>
          <w:ilvl w:val="0"/>
          <w:numId w:val="21"/>
        </w:numPr>
        <w:rPr>
          <w:color w:val="000000"/>
        </w:rPr>
      </w:pPr>
      <w:r>
        <w:rPr>
          <w:color w:val="000000"/>
        </w:rPr>
        <w:t>Coordinate readiness expectations and deliverables across stakeholders</w:t>
      </w:r>
    </w:p>
    <w:p w14:paraId="1F9A0CFC" w14:textId="77777777" w:rsidR="00A06E12" w:rsidRDefault="00A06E12" w:rsidP="00A06E12">
      <w:pPr>
        <w:pStyle w:val="NormalWeb"/>
        <w:numPr>
          <w:ilvl w:val="0"/>
          <w:numId w:val="21"/>
        </w:numPr>
        <w:rPr>
          <w:color w:val="000000"/>
        </w:rPr>
      </w:pPr>
      <w:r>
        <w:rPr>
          <w:color w:val="000000"/>
        </w:rPr>
        <w:t>Track issues and dependencies across workstreams</w:t>
      </w:r>
    </w:p>
    <w:p w14:paraId="73F0DD23" w14:textId="77777777" w:rsidR="00A06E12" w:rsidRDefault="00A06E12" w:rsidP="00A06E12">
      <w:pPr>
        <w:pStyle w:val="NormalWeb"/>
        <w:numPr>
          <w:ilvl w:val="0"/>
          <w:numId w:val="21"/>
        </w:numPr>
        <w:rPr>
          <w:color w:val="000000"/>
        </w:rPr>
      </w:pPr>
      <w:r>
        <w:rPr>
          <w:color w:val="000000"/>
        </w:rPr>
        <w:t>Support disciplined communication and milestone management</w:t>
      </w:r>
    </w:p>
    <w:p w14:paraId="7A606D64" w14:textId="77777777" w:rsidR="00A06E12" w:rsidRDefault="00A06E12" w:rsidP="00A06E12">
      <w:pPr>
        <w:pStyle w:val="NormalWeb"/>
        <w:rPr>
          <w:color w:val="000000"/>
        </w:rPr>
      </w:pPr>
      <w:r>
        <w:rPr>
          <w:rStyle w:val="Strong"/>
          <w:rFonts w:eastAsiaTheme="majorEastAsia"/>
          <w:color w:val="000000"/>
        </w:rPr>
        <w:t>Why It Matters</w:t>
      </w:r>
    </w:p>
    <w:p w14:paraId="605181E6" w14:textId="77777777" w:rsidR="00A06E12" w:rsidRDefault="00A06E12" w:rsidP="00A06E12">
      <w:pPr>
        <w:pStyle w:val="NormalWeb"/>
        <w:numPr>
          <w:ilvl w:val="0"/>
          <w:numId w:val="22"/>
        </w:numPr>
        <w:rPr>
          <w:color w:val="000000"/>
        </w:rPr>
      </w:pPr>
      <w:r>
        <w:rPr>
          <w:color w:val="000000"/>
        </w:rPr>
        <w:t>Reduces delays caused by misalignment and unclear ownership</w:t>
      </w:r>
    </w:p>
    <w:p w14:paraId="31F1360A" w14:textId="77777777" w:rsidR="00A06E12" w:rsidRDefault="00A06E12" w:rsidP="00A06E12">
      <w:pPr>
        <w:pStyle w:val="NormalWeb"/>
        <w:numPr>
          <w:ilvl w:val="0"/>
          <w:numId w:val="22"/>
        </w:numPr>
        <w:rPr>
          <w:color w:val="000000"/>
        </w:rPr>
      </w:pPr>
      <w:r>
        <w:rPr>
          <w:color w:val="000000"/>
        </w:rPr>
        <w:t>Improves execution control across complex workstreams</w:t>
      </w:r>
    </w:p>
    <w:p w14:paraId="0DB2DD2D" w14:textId="77777777" w:rsidR="00A06E12" w:rsidRDefault="00A06E12" w:rsidP="00A06E12">
      <w:pPr>
        <w:pStyle w:val="NormalWeb"/>
        <w:numPr>
          <w:ilvl w:val="0"/>
          <w:numId w:val="22"/>
        </w:numPr>
        <w:rPr>
          <w:color w:val="000000"/>
        </w:rPr>
      </w:pPr>
      <w:r>
        <w:rPr>
          <w:color w:val="000000"/>
        </w:rPr>
        <w:t>Strengthens predictability of readiness outcomes</w:t>
      </w:r>
    </w:p>
    <w:p w14:paraId="21DBBC06" w14:textId="77777777" w:rsidR="00A06E12" w:rsidRDefault="007F3430" w:rsidP="00A06E12">
      <w:r>
        <w:rPr>
          <w:noProof/>
        </w:rPr>
        <w:pict w14:anchorId="5BE30768">
          <v:rect id="_x0000_i1025" alt="" style="width:398.75pt;height:.05pt;mso-width-percent:0;mso-height-percent:0;mso-width-percent:0;mso-height-percent:0" o:hrpct="852" o:hralign="center" o:hrstd="t" o:hr="t" fillcolor="#a0a0a0" stroked="f"/>
        </w:pict>
      </w:r>
    </w:p>
    <w:p w14:paraId="05C90042" w14:textId="77777777" w:rsidR="00A06E12" w:rsidRDefault="00A06E12" w:rsidP="00A06E12">
      <w:pPr>
        <w:pStyle w:val="Heading3"/>
        <w:rPr>
          <w:color w:val="000000"/>
        </w:rPr>
      </w:pPr>
      <w:r>
        <w:rPr>
          <w:color w:val="000000"/>
        </w:rPr>
        <w:lastRenderedPageBreak/>
        <w:t>Ongoing Public-Company Readiness &amp; Transition</w:t>
      </w:r>
    </w:p>
    <w:p w14:paraId="0B1BA1CC" w14:textId="77777777" w:rsidR="00A06E12" w:rsidRDefault="00A06E12" w:rsidP="00A06E12">
      <w:pPr>
        <w:pStyle w:val="NormalWeb"/>
        <w:rPr>
          <w:color w:val="000000"/>
        </w:rPr>
      </w:pPr>
      <w:r>
        <w:rPr>
          <w:color w:val="000000"/>
        </w:rPr>
        <w:t>This phase ensures readiness remains durable after the event by embedding reporting cadence, control routines, and governance expectations into day-to-day operations. It also establishes monitoring and continuous improvement discipline so new risks, growth changes, and evolving requirements do not erode readiness over time.</w:t>
      </w:r>
      <w:r>
        <w:rPr>
          <w:color w:val="000000"/>
        </w:rPr>
        <w:br/>
      </w:r>
      <w:r>
        <w:rPr>
          <w:rStyle w:val="Strong"/>
          <w:rFonts w:eastAsiaTheme="majorEastAsia"/>
          <w:color w:val="000000"/>
        </w:rPr>
        <w:t>Purpose</w:t>
      </w:r>
    </w:p>
    <w:p w14:paraId="3E1ABCF7" w14:textId="77777777" w:rsidR="00A06E12" w:rsidRDefault="00A06E12" w:rsidP="00A06E12">
      <w:pPr>
        <w:pStyle w:val="NormalWeb"/>
        <w:numPr>
          <w:ilvl w:val="0"/>
          <w:numId w:val="23"/>
        </w:numPr>
        <w:rPr>
          <w:color w:val="000000"/>
        </w:rPr>
      </w:pPr>
      <w:r>
        <w:rPr>
          <w:color w:val="000000"/>
        </w:rPr>
        <w:t>Plan for sustained reporting cadence and control execution post-event</w:t>
      </w:r>
    </w:p>
    <w:p w14:paraId="22D02FDE" w14:textId="77777777" w:rsidR="00A06E12" w:rsidRDefault="00A06E12" w:rsidP="00A06E12">
      <w:pPr>
        <w:pStyle w:val="NormalWeb"/>
        <w:numPr>
          <w:ilvl w:val="0"/>
          <w:numId w:val="23"/>
        </w:numPr>
        <w:rPr>
          <w:color w:val="000000"/>
        </w:rPr>
      </w:pPr>
      <w:r>
        <w:rPr>
          <w:color w:val="000000"/>
        </w:rPr>
        <w:t>Embed governance and documentation discipline into ongoing operations</w:t>
      </w:r>
    </w:p>
    <w:p w14:paraId="27C90CD9" w14:textId="77777777" w:rsidR="00A06E12" w:rsidRDefault="00A06E12" w:rsidP="00A06E12">
      <w:pPr>
        <w:pStyle w:val="NormalWeb"/>
        <w:numPr>
          <w:ilvl w:val="0"/>
          <w:numId w:val="23"/>
        </w:numPr>
        <w:rPr>
          <w:color w:val="000000"/>
        </w:rPr>
      </w:pPr>
      <w:r>
        <w:rPr>
          <w:color w:val="000000"/>
        </w:rPr>
        <w:t>Define monitoring and continuous improvement expectations</w:t>
      </w:r>
    </w:p>
    <w:p w14:paraId="66FEB952" w14:textId="77777777" w:rsidR="00A06E12" w:rsidRDefault="00A06E12" w:rsidP="00A06E12">
      <w:pPr>
        <w:pStyle w:val="NormalWeb"/>
        <w:rPr>
          <w:color w:val="000000"/>
        </w:rPr>
      </w:pPr>
      <w:r>
        <w:rPr>
          <w:rStyle w:val="Strong"/>
          <w:rFonts w:eastAsiaTheme="majorEastAsia"/>
          <w:color w:val="000000"/>
        </w:rPr>
        <w:t>Why It Matters</w:t>
      </w:r>
    </w:p>
    <w:p w14:paraId="55186C7C" w14:textId="77777777" w:rsidR="00A06E12" w:rsidRDefault="00A06E12" w:rsidP="00A06E12">
      <w:pPr>
        <w:pStyle w:val="NormalWeb"/>
        <w:numPr>
          <w:ilvl w:val="0"/>
          <w:numId w:val="24"/>
        </w:numPr>
        <w:rPr>
          <w:color w:val="000000"/>
        </w:rPr>
      </w:pPr>
      <w:r>
        <w:rPr>
          <w:color w:val="000000"/>
        </w:rPr>
        <w:t>Reduces post-event failures that damage credibility</w:t>
      </w:r>
    </w:p>
    <w:p w14:paraId="2506A7E4" w14:textId="77777777" w:rsidR="00A06E12" w:rsidRDefault="00A06E12" w:rsidP="00A06E12">
      <w:pPr>
        <w:pStyle w:val="NormalWeb"/>
        <w:numPr>
          <w:ilvl w:val="0"/>
          <w:numId w:val="24"/>
        </w:numPr>
        <w:rPr>
          <w:color w:val="000000"/>
        </w:rPr>
      </w:pPr>
      <w:r>
        <w:rPr>
          <w:color w:val="000000"/>
        </w:rPr>
        <w:t>Improves sustainability of control and reporting maturity</w:t>
      </w:r>
    </w:p>
    <w:p w14:paraId="0B639D50" w14:textId="77777777" w:rsidR="00A06E12" w:rsidRDefault="00A06E12" w:rsidP="00A06E12">
      <w:pPr>
        <w:pStyle w:val="NormalWeb"/>
        <w:numPr>
          <w:ilvl w:val="0"/>
          <w:numId w:val="24"/>
        </w:numPr>
        <w:rPr>
          <w:color w:val="000000"/>
        </w:rPr>
      </w:pPr>
      <w:r>
        <w:rPr>
          <w:color w:val="000000"/>
        </w:rPr>
        <w:t>Ensures readiness remains durable as operations evolve</w:t>
      </w:r>
    </w:p>
    <w:p w14:paraId="0C26A7A5" w14:textId="273BAA2B" w:rsidR="00632333" w:rsidRPr="00A06E12" w:rsidRDefault="00632333" w:rsidP="00A06E12"/>
    <w:sectPr w:rsidR="00632333" w:rsidRPr="00A06E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BEFF0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B2273"/>
    <w:multiLevelType w:val="multilevel"/>
    <w:tmpl w:val="A6FC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A74C4"/>
    <w:multiLevelType w:val="multilevel"/>
    <w:tmpl w:val="B13A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91736"/>
    <w:multiLevelType w:val="multilevel"/>
    <w:tmpl w:val="4C90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10B5C"/>
    <w:multiLevelType w:val="multilevel"/>
    <w:tmpl w:val="EBF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E40CA"/>
    <w:multiLevelType w:val="multilevel"/>
    <w:tmpl w:val="A32A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C7A27"/>
    <w:multiLevelType w:val="multilevel"/>
    <w:tmpl w:val="06C0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4C4075"/>
    <w:multiLevelType w:val="multilevel"/>
    <w:tmpl w:val="2984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1E35E2"/>
    <w:multiLevelType w:val="multilevel"/>
    <w:tmpl w:val="B8D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76BCD"/>
    <w:multiLevelType w:val="multilevel"/>
    <w:tmpl w:val="DD8C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41D94"/>
    <w:multiLevelType w:val="multilevel"/>
    <w:tmpl w:val="C054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E5491F"/>
    <w:multiLevelType w:val="multilevel"/>
    <w:tmpl w:val="D87A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81797"/>
    <w:multiLevelType w:val="multilevel"/>
    <w:tmpl w:val="6C9E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74CC0"/>
    <w:multiLevelType w:val="multilevel"/>
    <w:tmpl w:val="631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1151A"/>
    <w:multiLevelType w:val="multilevel"/>
    <w:tmpl w:val="7B9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F96316"/>
    <w:multiLevelType w:val="multilevel"/>
    <w:tmpl w:val="FDC8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93145">
    <w:abstractNumId w:val="8"/>
  </w:num>
  <w:num w:numId="2" w16cid:durableId="1449206152">
    <w:abstractNumId w:val="6"/>
  </w:num>
  <w:num w:numId="3" w16cid:durableId="495191564">
    <w:abstractNumId w:val="5"/>
  </w:num>
  <w:num w:numId="4" w16cid:durableId="1217278716">
    <w:abstractNumId w:val="4"/>
  </w:num>
  <w:num w:numId="5" w16cid:durableId="810102485">
    <w:abstractNumId w:val="7"/>
  </w:num>
  <w:num w:numId="6" w16cid:durableId="1799030634">
    <w:abstractNumId w:val="3"/>
  </w:num>
  <w:num w:numId="7" w16cid:durableId="489753680">
    <w:abstractNumId w:val="2"/>
  </w:num>
  <w:num w:numId="8" w16cid:durableId="299310223">
    <w:abstractNumId w:val="1"/>
  </w:num>
  <w:num w:numId="9" w16cid:durableId="755323535">
    <w:abstractNumId w:val="0"/>
  </w:num>
  <w:num w:numId="10" w16cid:durableId="1155150015">
    <w:abstractNumId w:val="20"/>
  </w:num>
  <w:num w:numId="11" w16cid:durableId="1190535328">
    <w:abstractNumId w:val="17"/>
  </w:num>
  <w:num w:numId="12" w16cid:durableId="2126197227">
    <w:abstractNumId w:val="16"/>
  </w:num>
  <w:num w:numId="13" w16cid:durableId="744300952">
    <w:abstractNumId w:val="15"/>
  </w:num>
  <w:num w:numId="14" w16cid:durableId="199244390">
    <w:abstractNumId w:val="22"/>
  </w:num>
  <w:num w:numId="15" w16cid:durableId="58209598">
    <w:abstractNumId w:val="13"/>
  </w:num>
  <w:num w:numId="16" w16cid:durableId="1403337464">
    <w:abstractNumId w:val="19"/>
  </w:num>
  <w:num w:numId="17" w16cid:durableId="1797529351">
    <w:abstractNumId w:val="21"/>
  </w:num>
  <w:num w:numId="18" w16cid:durableId="1381199869">
    <w:abstractNumId w:val="11"/>
  </w:num>
  <w:num w:numId="19" w16cid:durableId="889733038">
    <w:abstractNumId w:val="10"/>
  </w:num>
  <w:num w:numId="20" w16cid:durableId="1763454171">
    <w:abstractNumId w:val="14"/>
  </w:num>
  <w:num w:numId="21" w16cid:durableId="1352300091">
    <w:abstractNumId w:val="12"/>
  </w:num>
  <w:num w:numId="22" w16cid:durableId="2098862134">
    <w:abstractNumId w:val="9"/>
  </w:num>
  <w:num w:numId="23" w16cid:durableId="1422068117">
    <w:abstractNumId w:val="23"/>
  </w:num>
  <w:num w:numId="24" w16cid:durableId="12976807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2333"/>
    <w:rsid w:val="00675B7B"/>
    <w:rsid w:val="007F3430"/>
    <w:rsid w:val="00A06E12"/>
    <w:rsid w:val="00A11132"/>
    <w:rsid w:val="00AA1D8D"/>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16EE4"/>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06E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06E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745</Words>
  <Characters>5280</Characters>
  <Application>Microsoft Office Word</Application>
  <DocSecurity>0</DocSecurity>
  <Lines>110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2026-02-01T19:51:00Z</dcterms:modified>
  <cp:category/>
</cp:coreProperties>
</file>