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79B94" w14:textId="77777777" w:rsidR="00FA387A" w:rsidRDefault="00FA387A" w:rsidP="00FA387A">
      <w:pPr>
        <w:pStyle w:val="Heading2"/>
        <w:rPr>
          <w:color w:val="000000"/>
        </w:rPr>
      </w:pPr>
      <w:r>
        <w:rPr>
          <w:color w:val="000000"/>
        </w:rPr>
        <w:t>Audit, Review &amp; Compilation Services – Quantum’s Assurance &amp; Financial Credibility Framework</w:t>
      </w:r>
    </w:p>
    <w:p w14:paraId="1E883796" w14:textId="7BCBEF30" w:rsidR="00FA387A" w:rsidRDefault="00FA387A" w:rsidP="00FA387A">
      <w:pPr>
        <w:pStyle w:val="Heading3"/>
        <w:rPr>
          <w:color w:val="000000"/>
        </w:rPr>
      </w:pPr>
      <w:r>
        <w:rPr>
          <w:color w:val="000000"/>
        </w:rPr>
        <w:t>Service Summary</w:t>
      </w:r>
    </w:p>
    <w:p w14:paraId="6AC93F85" w14:textId="77777777" w:rsidR="00FA387A" w:rsidRDefault="00FA387A" w:rsidP="00FA387A">
      <w:pPr>
        <w:pStyle w:val="NormalWeb"/>
        <w:rPr>
          <w:color w:val="000000"/>
        </w:rPr>
      </w:pPr>
      <w:r>
        <w:rPr>
          <w:color w:val="000000"/>
        </w:rPr>
        <w:t>Audit, Review &amp; Compilation Services help organizations strengthen financial credibility by producing consistent, supportable financial statements aligned to the appropriate level of assurance. When scope, documentation, and communication are not tightly managed, assurance engagements can become disruptive—creating delays, rework, and avoidable findings. Quantum delivers a governance-first, control-driven approach grounded in Clarity, Consistency, Compliance, Communication, Control, and Comprehensiveness. The result is reliable reporting, reduced engagement friction, stronger defensibility, and smoother stakeholder outcomes.</w:t>
      </w:r>
    </w:p>
    <w:p w14:paraId="4596BCD7" w14:textId="77777777" w:rsidR="00FA387A" w:rsidRDefault="00CF68E7" w:rsidP="00FA387A">
      <w:r>
        <w:rPr>
          <w:noProof/>
        </w:rPr>
        <w:pict w14:anchorId="74E7EA6B">
          <v:rect id="_x0000_i1031" alt="" style="width:431.95pt;height:.05pt;mso-width-percent:0;mso-height-percent:0;mso-width-percent:0;mso-height-percent:0" o:hrpct="923" o:hralign="center" o:hrstd="t" o:hr="t" fillcolor="#a0a0a0" stroked="f"/>
        </w:pict>
      </w:r>
    </w:p>
    <w:p w14:paraId="42D750C2" w14:textId="77777777" w:rsidR="00FA387A" w:rsidRDefault="00FA387A" w:rsidP="00FA387A">
      <w:pPr>
        <w:pStyle w:val="Heading2"/>
        <w:rPr>
          <w:color w:val="000000"/>
        </w:rPr>
      </w:pPr>
      <w:r>
        <w:rPr>
          <w:color w:val="000000"/>
        </w:rPr>
        <w:t>Service Cards (Website Tiles)</w:t>
      </w:r>
    </w:p>
    <w:p w14:paraId="5941F559" w14:textId="77777777" w:rsidR="00FA387A" w:rsidRDefault="00FA387A" w:rsidP="00FA387A">
      <w:pPr>
        <w:pStyle w:val="Heading3"/>
        <w:rPr>
          <w:color w:val="000000"/>
        </w:rPr>
      </w:pPr>
      <w:r>
        <w:rPr>
          <w:color w:val="000000"/>
        </w:rPr>
        <w:t>Card 1 — Engagement Understanding &amp; Scope Definition</w:t>
      </w:r>
    </w:p>
    <w:p w14:paraId="526E2D20" w14:textId="6E36CDE3" w:rsidR="00FA387A" w:rsidRDefault="00FA387A" w:rsidP="00FA387A">
      <w:pPr>
        <w:pStyle w:val="NormalWeb"/>
        <w:rPr>
          <w:color w:val="000000"/>
        </w:rPr>
      </w:pPr>
      <w:r>
        <w:rPr>
          <w:color w:val="000000"/>
        </w:rPr>
        <w:t>We align on the engagement objective and the appropriate level of assurance—audit, review, or compilation—so expectations match requirements. We confirm timelines, deliverables, and responsibility boundaries, then translate them into a structured plan with clear information needs. This establishes predictability and avoids ambiguity before work begins.</w:t>
      </w:r>
    </w:p>
    <w:p w14:paraId="67C5FDA3" w14:textId="77777777" w:rsidR="00FA387A" w:rsidRDefault="00FA387A" w:rsidP="00FA387A">
      <w:pPr>
        <w:pStyle w:val="NormalWeb"/>
        <w:rPr>
          <w:color w:val="000000"/>
        </w:rPr>
      </w:pPr>
      <w:r>
        <w:rPr>
          <w:rStyle w:val="Strong"/>
          <w:color w:val="000000"/>
        </w:rPr>
        <w:t>Purpose:</w:t>
      </w:r>
    </w:p>
    <w:p w14:paraId="31A04E53" w14:textId="77777777" w:rsidR="00FA387A" w:rsidRDefault="00FA387A" w:rsidP="00FA387A">
      <w:pPr>
        <w:pStyle w:val="NormalWeb"/>
        <w:numPr>
          <w:ilvl w:val="0"/>
          <w:numId w:val="10"/>
        </w:numPr>
        <w:rPr>
          <w:color w:val="000000"/>
        </w:rPr>
      </w:pPr>
      <w:r>
        <w:rPr>
          <w:color w:val="000000"/>
        </w:rPr>
        <w:t>Confirm the correct assurance level and intended stakeholder use</w:t>
      </w:r>
    </w:p>
    <w:p w14:paraId="6DE9A682" w14:textId="77777777" w:rsidR="00FA387A" w:rsidRDefault="00FA387A" w:rsidP="00FA387A">
      <w:pPr>
        <w:pStyle w:val="NormalWeb"/>
        <w:numPr>
          <w:ilvl w:val="0"/>
          <w:numId w:val="10"/>
        </w:numPr>
        <w:rPr>
          <w:color w:val="000000"/>
        </w:rPr>
      </w:pPr>
      <w:r>
        <w:rPr>
          <w:color w:val="000000"/>
        </w:rPr>
        <w:t>Define scope boundaries, timeline milestones, and responsibilities</w:t>
      </w:r>
    </w:p>
    <w:p w14:paraId="37A5B9B2" w14:textId="77777777" w:rsidR="00FA387A" w:rsidRDefault="00FA387A" w:rsidP="00FA387A">
      <w:pPr>
        <w:pStyle w:val="NormalWeb"/>
        <w:numPr>
          <w:ilvl w:val="0"/>
          <w:numId w:val="10"/>
        </w:numPr>
        <w:rPr>
          <w:color w:val="000000"/>
        </w:rPr>
      </w:pPr>
      <w:r>
        <w:rPr>
          <w:color w:val="000000"/>
        </w:rPr>
        <w:t>Establish a controlled plan for information intake and coordination</w:t>
      </w:r>
    </w:p>
    <w:p w14:paraId="6BD1ADDD" w14:textId="77777777" w:rsidR="00FA387A" w:rsidRDefault="00FA387A" w:rsidP="00FA387A">
      <w:pPr>
        <w:pStyle w:val="NormalWeb"/>
        <w:rPr>
          <w:color w:val="000000"/>
        </w:rPr>
      </w:pPr>
      <w:r>
        <w:rPr>
          <w:rStyle w:val="Strong"/>
          <w:color w:val="000000"/>
        </w:rPr>
        <w:t>Why It Matters:</w:t>
      </w:r>
    </w:p>
    <w:p w14:paraId="6607ED12" w14:textId="77777777" w:rsidR="00FA387A" w:rsidRDefault="00FA387A" w:rsidP="00FA387A">
      <w:pPr>
        <w:pStyle w:val="NormalWeb"/>
        <w:numPr>
          <w:ilvl w:val="0"/>
          <w:numId w:val="11"/>
        </w:numPr>
        <w:rPr>
          <w:color w:val="000000"/>
        </w:rPr>
      </w:pPr>
      <w:r>
        <w:rPr>
          <w:color w:val="000000"/>
        </w:rPr>
        <w:t>Reduces delays driven by unclear expectations</w:t>
      </w:r>
    </w:p>
    <w:p w14:paraId="591EBA0F" w14:textId="77777777" w:rsidR="00FA387A" w:rsidRDefault="00FA387A" w:rsidP="00FA387A">
      <w:pPr>
        <w:pStyle w:val="NormalWeb"/>
        <w:numPr>
          <w:ilvl w:val="0"/>
          <w:numId w:val="11"/>
        </w:numPr>
        <w:rPr>
          <w:color w:val="000000"/>
        </w:rPr>
      </w:pPr>
      <w:r>
        <w:rPr>
          <w:color w:val="000000"/>
        </w:rPr>
        <w:t>Prevents rework caused by scope creep or missing responsibilities</w:t>
      </w:r>
    </w:p>
    <w:p w14:paraId="0AD4A838" w14:textId="77777777" w:rsidR="00FA387A" w:rsidRDefault="00FA387A" w:rsidP="00FA387A">
      <w:pPr>
        <w:pStyle w:val="NormalWeb"/>
        <w:numPr>
          <w:ilvl w:val="0"/>
          <w:numId w:val="11"/>
        </w:numPr>
        <w:rPr>
          <w:color w:val="000000"/>
        </w:rPr>
      </w:pPr>
      <w:r>
        <w:rPr>
          <w:color w:val="000000"/>
        </w:rPr>
        <w:t>Improves efficiency by right-sizing procedures to the engagement</w:t>
      </w:r>
    </w:p>
    <w:p w14:paraId="1B462CDC" w14:textId="77777777" w:rsidR="00FA387A" w:rsidRDefault="00CF68E7" w:rsidP="00FA387A">
      <w:r>
        <w:rPr>
          <w:noProof/>
        </w:rPr>
        <w:pict w14:anchorId="32B65D60">
          <v:rect id="_x0000_i1030" alt="" style="width:431.95pt;height:.05pt;mso-width-percent:0;mso-height-percent:0;mso-width-percent:0;mso-height-percent:0" o:hrpct="923" o:hralign="center" o:hrstd="t" o:hr="t" fillcolor="#a0a0a0" stroked="f"/>
        </w:pict>
      </w:r>
    </w:p>
    <w:p w14:paraId="6E33B675" w14:textId="77777777" w:rsidR="00FA387A" w:rsidRDefault="00FA387A" w:rsidP="00FA387A">
      <w:pPr>
        <w:pStyle w:val="Heading3"/>
        <w:rPr>
          <w:color w:val="000000"/>
        </w:rPr>
      </w:pPr>
      <w:r>
        <w:rPr>
          <w:color w:val="000000"/>
        </w:rPr>
        <w:t>Card 2 — Financial Information &amp; Process Assessment</w:t>
      </w:r>
    </w:p>
    <w:p w14:paraId="50EB8BBB" w14:textId="675752A9" w:rsidR="00FA387A" w:rsidRDefault="00FA387A" w:rsidP="00FA387A">
      <w:pPr>
        <w:pStyle w:val="NormalWeb"/>
        <w:rPr>
          <w:color w:val="000000"/>
        </w:rPr>
      </w:pPr>
      <w:r>
        <w:rPr>
          <w:color w:val="000000"/>
        </w:rPr>
        <w:t xml:space="preserve">We evaluate the completeness and organization of records to identify gaps before procedures intensify. Documentation expectations are standardized early so support is </w:t>
      </w:r>
      <w:r>
        <w:rPr>
          <w:color w:val="000000"/>
        </w:rPr>
        <w:lastRenderedPageBreak/>
        <w:t>consistent, traceable, and easy to validate. This stage improves readiness and reduces avoidable disruption later in the engagement.</w:t>
      </w:r>
    </w:p>
    <w:p w14:paraId="775C6E0E" w14:textId="77777777" w:rsidR="00FA387A" w:rsidRDefault="00FA387A" w:rsidP="00FA387A">
      <w:pPr>
        <w:pStyle w:val="NormalWeb"/>
        <w:rPr>
          <w:color w:val="000000"/>
        </w:rPr>
      </w:pPr>
      <w:r>
        <w:rPr>
          <w:rStyle w:val="Strong"/>
          <w:color w:val="000000"/>
        </w:rPr>
        <w:t>Purpose:</w:t>
      </w:r>
    </w:p>
    <w:p w14:paraId="2FF70938" w14:textId="77777777" w:rsidR="00FA387A" w:rsidRDefault="00FA387A" w:rsidP="00FA387A">
      <w:pPr>
        <w:pStyle w:val="NormalWeb"/>
        <w:numPr>
          <w:ilvl w:val="0"/>
          <w:numId w:val="12"/>
        </w:numPr>
        <w:rPr>
          <w:color w:val="000000"/>
        </w:rPr>
      </w:pPr>
      <w:r>
        <w:rPr>
          <w:color w:val="000000"/>
        </w:rPr>
        <w:t>Assess record readiness and identify missing or inconsistent support</w:t>
      </w:r>
    </w:p>
    <w:p w14:paraId="33298608" w14:textId="77777777" w:rsidR="00FA387A" w:rsidRDefault="00FA387A" w:rsidP="00FA387A">
      <w:pPr>
        <w:pStyle w:val="NormalWeb"/>
        <w:numPr>
          <w:ilvl w:val="0"/>
          <w:numId w:val="12"/>
        </w:numPr>
        <w:rPr>
          <w:color w:val="000000"/>
        </w:rPr>
      </w:pPr>
      <w:r>
        <w:rPr>
          <w:color w:val="000000"/>
        </w:rPr>
        <w:t>Standardize documentation organization for traceability and review</w:t>
      </w:r>
    </w:p>
    <w:p w14:paraId="5B07AED5" w14:textId="77777777" w:rsidR="00FA387A" w:rsidRDefault="00FA387A" w:rsidP="00FA387A">
      <w:pPr>
        <w:pStyle w:val="NormalWeb"/>
        <w:numPr>
          <w:ilvl w:val="0"/>
          <w:numId w:val="12"/>
        </w:numPr>
        <w:rPr>
          <w:color w:val="000000"/>
        </w:rPr>
      </w:pPr>
      <w:r>
        <w:rPr>
          <w:color w:val="000000"/>
        </w:rPr>
        <w:t>Triage issues early to keep execution smooth</w:t>
      </w:r>
    </w:p>
    <w:p w14:paraId="50CAF79F" w14:textId="77777777" w:rsidR="00FA387A" w:rsidRDefault="00FA387A" w:rsidP="00FA387A">
      <w:pPr>
        <w:pStyle w:val="NormalWeb"/>
        <w:rPr>
          <w:color w:val="000000"/>
        </w:rPr>
      </w:pPr>
      <w:r>
        <w:rPr>
          <w:rStyle w:val="Strong"/>
          <w:color w:val="000000"/>
        </w:rPr>
        <w:t>Why It Matters:</w:t>
      </w:r>
    </w:p>
    <w:p w14:paraId="158A6B3A" w14:textId="77777777" w:rsidR="00FA387A" w:rsidRDefault="00FA387A" w:rsidP="00FA387A">
      <w:pPr>
        <w:pStyle w:val="NormalWeb"/>
        <w:numPr>
          <w:ilvl w:val="0"/>
          <w:numId w:val="13"/>
        </w:numPr>
        <w:rPr>
          <w:color w:val="000000"/>
        </w:rPr>
      </w:pPr>
      <w:r>
        <w:rPr>
          <w:color w:val="000000"/>
        </w:rPr>
        <w:t>Minimizes late-cycle surprises that slow issuance</w:t>
      </w:r>
    </w:p>
    <w:p w14:paraId="7A404916" w14:textId="77777777" w:rsidR="00FA387A" w:rsidRDefault="00FA387A" w:rsidP="00FA387A">
      <w:pPr>
        <w:pStyle w:val="NormalWeb"/>
        <w:numPr>
          <w:ilvl w:val="0"/>
          <w:numId w:val="13"/>
        </w:numPr>
        <w:rPr>
          <w:color w:val="000000"/>
        </w:rPr>
      </w:pPr>
      <w:r>
        <w:rPr>
          <w:color w:val="000000"/>
        </w:rPr>
        <w:t>Improves reliability by strengthening source records</w:t>
      </w:r>
    </w:p>
    <w:p w14:paraId="0F40D9F7" w14:textId="77777777" w:rsidR="00FA387A" w:rsidRDefault="00FA387A" w:rsidP="00FA387A">
      <w:pPr>
        <w:pStyle w:val="NormalWeb"/>
        <w:numPr>
          <w:ilvl w:val="0"/>
          <w:numId w:val="13"/>
        </w:numPr>
        <w:rPr>
          <w:color w:val="000000"/>
        </w:rPr>
      </w:pPr>
      <w:r>
        <w:rPr>
          <w:color w:val="000000"/>
        </w:rPr>
        <w:t>Enhances defensibility through organized, verifiable support</w:t>
      </w:r>
    </w:p>
    <w:p w14:paraId="45F68DB4" w14:textId="77777777" w:rsidR="00FA387A" w:rsidRDefault="00CF68E7" w:rsidP="00FA387A">
      <w:r>
        <w:rPr>
          <w:noProof/>
        </w:rPr>
        <w:pict w14:anchorId="1A338100">
          <v:rect id="_x0000_i1029" alt="" style="width:431.95pt;height:.05pt;mso-width-percent:0;mso-height-percent:0;mso-width-percent:0;mso-height-percent:0" o:hrpct="923" o:hralign="center" o:hrstd="t" o:hr="t" fillcolor="#a0a0a0" stroked="f"/>
        </w:pict>
      </w:r>
    </w:p>
    <w:p w14:paraId="1EA71C57" w14:textId="77777777" w:rsidR="00FA387A" w:rsidRDefault="00FA387A" w:rsidP="00FA387A">
      <w:pPr>
        <w:pStyle w:val="Heading3"/>
        <w:rPr>
          <w:color w:val="000000"/>
        </w:rPr>
      </w:pPr>
      <w:r>
        <w:rPr>
          <w:color w:val="000000"/>
        </w:rPr>
        <w:t>Card 3 — Planning &amp; Risk Assessment (Audit and Review Engagements)</w:t>
      </w:r>
    </w:p>
    <w:p w14:paraId="0BF7094E" w14:textId="62E02C95" w:rsidR="00FA387A" w:rsidRDefault="00FA387A" w:rsidP="00FA387A">
      <w:pPr>
        <w:pStyle w:val="NormalWeb"/>
        <w:rPr>
          <w:color w:val="000000"/>
        </w:rPr>
      </w:pPr>
      <w:r>
        <w:rPr>
          <w:color w:val="000000"/>
        </w:rPr>
        <w:t>For audit and review engagements, we focus planning on areas most likely to impact conclusions. We define materiality, tailor procedures to risk, and consider relevant control context where appropriate. The result is disciplined execution with clear rationale behind coverage and conclusions.</w:t>
      </w:r>
    </w:p>
    <w:p w14:paraId="1F2CA4B1" w14:textId="77777777" w:rsidR="00FA387A" w:rsidRDefault="00FA387A" w:rsidP="00FA387A">
      <w:pPr>
        <w:pStyle w:val="NormalWeb"/>
        <w:rPr>
          <w:color w:val="000000"/>
        </w:rPr>
      </w:pPr>
      <w:r>
        <w:rPr>
          <w:rStyle w:val="Strong"/>
          <w:color w:val="000000"/>
        </w:rPr>
        <w:t>Purpose:</w:t>
      </w:r>
    </w:p>
    <w:p w14:paraId="0EB6EC5A" w14:textId="77777777" w:rsidR="00FA387A" w:rsidRDefault="00FA387A" w:rsidP="00FA387A">
      <w:pPr>
        <w:pStyle w:val="NormalWeb"/>
        <w:numPr>
          <w:ilvl w:val="0"/>
          <w:numId w:val="14"/>
        </w:numPr>
        <w:rPr>
          <w:color w:val="000000"/>
        </w:rPr>
      </w:pPr>
      <w:r>
        <w:rPr>
          <w:color w:val="000000"/>
        </w:rPr>
        <w:t>Identify higher-risk areas and align procedures accordingly</w:t>
      </w:r>
    </w:p>
    <w:p w14:paraId="1A95E834" w14:textId="77777777" w:rsidR="00FA387A" w:rsidRDefault="00FA387A" w:rsidP="00FA387A">
      <w:pPr>
        <w:pStyle w:val="NormalWeb"/>
        <w:numPr>
          <w:ilvl w:val="0"/>
          <w:numId w:val="14"/>
        </w:numPr>
        <w:rPr>
          <w:color w:val="000000"/>
        </w:rPr>
      </w:pPr>
      <w:r>
        <w:rPr>
          <w:color w:val="000000"/>
        </w:rPr>
        <w:t>Define materiality and a consistent execution approach</w:t>
      </w:r>
    </w:p>
    <w:p w14:paraId="03F9CC84" w14:textId="77777777" w:rsidR="00FA387A" w:rsidRDefault="00FA387A" w:rsidP="00FA387A">
      <w:pPr>
        <w:pStyle w:val="NormalWeb"/>
        <w:numPr>
          <w:ilvl w:val="0"/>
          <w:numId w:val="14"/>
        </w:numPr>
        <w:rPr>
          <w:color w:val="000000"/>
        </w:rPr>
      </w:pPr>
      <w:r>
        <w:rPr>
          <w:color w:val="000000"/>
        </w:rPr>
        <w:t>Incorporate control context as needed to support the plan</w:t>
      </w:r>
    </w:p>
    <w:p w14:paraId="21278B38" w14:textId="77777777" w:rsidR="00FA387A" w:rsidRDefault="00FA387A" w:rsidP="00FA387A">
      <w:pPr>
        <w:pStyle w:val="NormalWeb"/>
        <w:rPr>
          <w:color w:val="000000"/>
        </w:rPr>
      </w:pPr>
      <w:r>
        <w:rPr>
          <w:rStyle w:val="Strong"/>
          <w:color w:val="000000"/>
        </w:rPr>
        <w:t>Why It Matters:</w:t>
      </w:r>
    </w:p>
    <w:p w14:paraId="05149DB8" w14:textId="77777777" w:rsidR="00FA387A" w:rsidRDefault="00FA387A" w:rsidP="00FA387A">
      <w:pPr>
        <w:pStyle w:val="NormalWeb"/>
        <w:numPr>
          <w:ilvl w:val="0"/>
          <w:numId w:val="15"/>
        </w:numPr>
        <w:rPr>
          <w:color w:val="000000"/>
        </w:rPr>
      </w:pPr>
      <w:r>
        <w:rPr>
          <w:color w:val="000000"/>
        </w:rPr>
        <w:t>Improves coverage where it matters most</w:t>
      </w:r>
    </w:p>
    <w:p w14:paraId="02F33C11" w14:textId="77777777" w:rsidR="00FA387A" w:rsidRDefault="00FA387A" w:rsidP="00FA387A">
      <w:pPr>
        <w:pStyle w:val="NormalWeb"/>
        <w:numPr>
          <w:ilvl w:val="0"/>
          <w:numId w:val="15"/>
        </w:numPr>
        <w:rPr>
          <w:color w:val="000000"/>
        </w:rPr>
      </w:pPr>
      <w:r>
        <w:rPr>
          <w:color w:val="000000"/>
        </w:rPr>
        <w:t>Reduces avoidable findings caused by unfocused execution</w:t>
      </w:r>
    </w:p>
    <w:p w14:paraId="48540FB3" w14:textId="77777777" w:rsidR="00FA387A" w:rsidRDefault="00FA387A" w:rsidP="00FA387A">
      <w:pPr>
        <w:pStyle w:val="NormalWeb"/>
        <w:numPr>
          <w:ilvl w:val="0"/>
          <w:numId w:val="15"/>
        </w:numPr>
        <w:rPr>
          <w:color w:val="000000"/>
        </w:rPr>
      </w:pPr>
      <w:r>
        <w:rPr>
          <w:color w:val="000000"/>
        </w:rPr>
        <w:t>Creates a clearer basis for conclusions and documentation</w:t>
      </w:r>
    </w:p>
    <w:p w14:paraId="5BEB105B" w14:textId="77777777" w:rsidR="00FA387A" w:rsidRDefault="00CF68E7" w:rsidP="00FA387A">
      <w:r>
        <w:rPr>
          <w:noProof/>
        </w:rPr>
        <w:pict w14:anchorId="4CFF82F0">
          <v:rect id="_x0000_i1028" alt="" style="width:431.95pt;height:.05pt;mso-width-percent:0;mso-height-percent:0;mso-width-percent:0;mso-height-percent:0" o:hrpct="923" o:hralign="center" o:hrstd="t" o:hr="t" fillcolor="#a0a0a0" stroked="f"/>
        </w:pict>
      </w:r>
    </w:p>
    <w:p w14:paraId="63DF6B18" w14:textId="77777777" w:rsidR="00FA387A" w:rsidRDefault="00FA387A" w:rsidP="00FA387A">
      <w:pPr>
        <w:pStyle w:val="Heading3"/>
        <w:rPr>
          <w:color w:val="000000"/>
        </w:rPr>
      </w:pPr>
      <w:r>
        <w:rPr>
          <w:color w:val="000000"/>
        </w:rPr>
        <w:t>Card 4 — Fieldwork, Analysis &amp; Financial Statement Preparation</w:t>
      </w:r>
    </w:p>
    <w:p w14:paraId="0D1C511D" w14:textId="0FAA4156" w:rsidR="00FA387A" w:rsidRDefault="00FA387A" w:rsidP="00FA387A">
      <w:pPr>
        <w:pStyle w:val="NormalWeb"/>
        <w:rPr>
          <w:color w:val="000000"/>
        </w:rPr>
      </w:pPr>
      <w:r>
        <w:rPr>
          <w:color w:val="000000"/>
        </w:rPr>
        <w:t>We perform the procedures appropriate to the engagement type, supported by consistent evidence handling and issue tracking. Financial statements are prepared or finalized in the agreed format, with documentation maintained to support review and retention. Structured execution keeps momentum and limits open items.</w:t>
      </w:r>
    </w:p>
    <w:p w14:paraId="12606D66" w14:textId="77777777" w:rsidR="00FA387A" w:rsidRDefault="00FA387A" w:rsidP="00FA387A">
      <w:pPr>
        <w:pStyle w:val="NormalWeb"/>
        <w:rPr>
          <w:color w:val="000000"/>
        </w:rPr>
      </w:pPr>
      <w:r>
        <w:rPr>
          <w:rStyle w:val="Strong"/>
          <w:color w:val="000000"/>
        </w:rPr>
        <w:t>Purpose:</w:t>
      </w:r>
    </w:p>
    <w:p w14:paraId="1851ADCF" w14:textId="77777777" w:rsidR="00FA387A" w:rsidRDefault="00FA387A" w:rsidP="00FA387A">
      <w:pPr>
        <w:pStyle w:val="NormalWeb"/>
        <w:numPr>
          <w:ilvl w:val="0"/>
          <w:numId w:val="16"/>
        </w:numPr>
        <w:rPr>
          <w:color w:val="000000"/>
        </w:rPr>
      </w:pPr>
      <w:r>
        <w:rPr>
          <w:color w:val="000000"/>
        </w:rPr>
        <w:lastRenderedPageBreak/>
        <w:t>Execute required procedures with controlled evidence capture</w:t>
      </w:r>
    </w:p>
    <w:p w14:paraId="1085AA2E" w14:textId="77777777" w:rsidR="00FA387A" w:rsidRDefault="00FA387A" w:rsidP="00FA387A">
      <w:pPr>
        <w:pStyle w:val="NormalWeb"/>
        <w:numPr>
          <w:ilvl w:val="0"/>
          <w:numId w:val="16"/>
        </w:numPr>
        <w:rPr>
          <w:color w:val="000000"/>
        </w:rPr>
      </w:pPr>
      <w:r>
        <w:rPr>
          <w:color w:val="000000"/>
        </w:rPr>
        <w:t>Prepare or finalize statements in the agreed reporting format</w:t>
      </w:r>
    </w:p>
    <w:p w14:paraId="72DE613A" w14:textId="77777777" w:rsidR="00FA387A" w:rsidRDefault="00FA387A" w:rsidP="00FA387A">
      <w:pPr>
        <w:pStyle w:val="NormalWeb"/>
        <w:numPr>
          <w:ilvl w:val="0"/>
          <w:numId w:val="16"/>
        </w:numPr>
        <w:rPr>
          <w:color w:val="000000"/>
        </w:rPr>
      </w:pPr>
      <w:r>
        <w:rPr>
          <w:color w:val="000000"/>
        </w:rPr>
        <w:t>Manage questions and exceptions through documented resolution</w:t>
      </w:r>
    </w:p>
    <w:p w14:paraId="5844E8F4" w14:textId="77777777" w:rsidR="00FA387A" w:rsidRDefault="00FA387A" w:rsidP="00FA387A">
      <w:pPr>
        <w:pStyle w:val="NormalWeb"/>
        <w:rPr>
          <w:color w:val="000000"/>
        </w:rPr>
      </w:pPr>
      <w:r>
        <w:rPr>
          <w:rStyle w:val="Strong"/>
          <w:color w:val="000000"/>
        </w:rPr>
        <w:t>Why It Matters:</w:t>
      </w:r>
    </w:p>
    <w:p w14:paraId="66A9AE48" w14:textId="77777777" w:rsidR="00FA387A" w:rsidRDefault="00FA387A" w:rsidP="00FA387A">
      <w:pPr>
        <w:pStyle w:val="NormalWeb"/>
        <w:numPr>
          <w:ilvl w:val="0"/>
          <w:numId w:val="17"/>
        </w:numPr>
        <w:rPr>
          <w:color w:val="000000"/>
        </w:rPr>
      </w:pPr>
      <w:r>
        <w:rPr>
          <w:color w:val="000000"/>
        </w:rPr>
        <w:t>Produces statements that are supportable and aligned to requirements</w:t>
      </w:r>
    </w:p>
    <w:p w14:paraId="168FF19A" w14:textId="77777777" w:rsidR="00FA387A" w:rsidRDefault="00FA387A" w:rsidP="00FA387A">
      <w:pPr>
        <w:pStyle w:val="NormalWeb"/>
        <w:numPr>
          <w:ilvl w:val="0"/>
          <w:numId w:val="17"/>
        </w:numPr>
        <w:rPr>
          <w:color w:val="000000"/>
        </w:rPr>
      </w:pPr>
      <w:r>
        <w:rPr>
          <w:color w:val="000000"/>
        </w:rPr>
        <w:t>Reduces disruption through disciplined issue management</w:t>
      </w:r>
    </w:p>
    <w:p w14:paraId="2B345493" w14:textId="77777777" w:rsidR="00FA387A" w:rsidRDefault="00FA387A" w:rsidP="00FA387A">
      <w:pPr>
        <w:pStyle w:val="NormalWeb"/>
        <w:numPr>
          <w:ilvl w:val="0"/>
          <w:numId w:val="17"/>
        </w:numPr>
        <w:rPr>
          <w:color w:val="000000"/>
        </w:rPr>
      </w:pPr>
      <w:r>
        <w:rPr>
          <w:color w:val="000000"/>
        </w:rPr>
        <w:t>Improves confidence in accuracy and completeness</w:t>
      </w:r>
    </w:p>
    <w:p w14:paraId="119D44A7" w14:textId="77777777" w:rsidR="00FA387A" w:rsidRDefault="00CF68E7" w:rsidP="00FA387A">
      <w:r>
        <w:rPr>
          <w:noProof/>
        </w:rPr>
        <w:pict w14:anchorId="0341A858">
          <v:rect id="_x0000_i1027" alt="" style="width:431.95pt;height:.05pt;mso-width-percent:0;mso-height-percent:0;mso-width-percent:0;mso-height-percent:0" o:hrpct="923" o:hralign="center" o:hrstd="t" o:hr="t" fillcolor="#a0a0a0" stroked="f"/>
        </w:pict>
      </w:r>
    </w:p>
    <w:p w14:paraId="595F6573" w14:textId="77777777" w:rsidR="00FA387A" w:rsidRDefault="00FA387A" w:rsidP="00FA387A">
      <w:pPr>
        <w:pStyle w:val="Heading3"/>
        <w:rPr>
          <w:color w:val="000000"/>
        </w:rPr>
      </w:pPr>
      <w:r>
        <w:rPr>
          <w:color w:val="000000"/>
        </w:rPr>
        <w:t>Card 5 — Review, Quality Control &amp; Client Communication</w:t>
      </w:r>
    </w:p>
    <w:p w14:paraId="3BC3E21E" w14:textId="2822A9E0" w:rsidR="00FA387A" w:rsidRDefault="00FA387A" w:rsidP="00FA387A">
      <w:pPr>
        <w:pStyle w:val="NormalWeb"/>
        <w:rPr>
          <w:color w:val="000000"/>
        </w:rPr>
      </w:pPr>
      <w:r>
        <w:rPr>
          <w:color w:val="000000"/>
        </w:rPr>
        <w:t>We apply internal review to confirm accuracy, consistency, and completion before issuance. Findings and questions are communicated in a clear cadence so decisions and adjustments are resolved without bottlenecks. This stage ensures outputs are consistent, well-supported, and ready for external use.</w:t>
      </w:r>
    </w:p>
    <w:p w14:paraId="64C65D9B" w14:textId="77777777" w:rsidR="00FA387A" w:rsidRDefault="00FA387A" w:rsidP="00FA387A">
      <w:pPr>
        <w:pStyle w:val="NormalWeb"/>
        <w:rPr>
          <w:color w:val="000000"/>
        </w:rPr>
      </w:pPr>
      <w:r>
        <w:rPr>
          <w:rStyle w:val="Strong"/>
          <w:color w:val="000000"/>
        </w:rPr>
        <w:t>Purpose:</w:t>
      </w:r>
    </w:p>
    <w:p w14:paraId="2901F2CE" w14:textId="77777777" w:rsidR="00FA387A" w:rsidRDefault="00FA387A" w:rsidP="00FA387A">
      <w:pPr>
        <w:pStyle w:val="NormalWeb"/>
        <w:numPr>
          <w:ilvl w:val="0"/>
          <w:numId w:val="18"/>
        </w:numPr>
        <w:rPr>
          <w:color w:val="000000"/>
        </w:rPr>
      </w:pPr>
      <w:r>
        <w:rPr>
          <w:color w:val="000000"/>
        </w:rPr>
        <w:t>Validate completeness and consistency through internal review</w:t>
      </w:r>
    </w:p>
    <w:p w14:paraId="4ACC871A" w14:textId="77777777" w:rsidR="00FA387A" w:rsidRDefault="00FA387A" w:rsidP="00FA387A">
      <w:pPr>
        <w:pStyle w:val="NormalWeb"/>
        <w:numPr>
          <w:ilvl w:val="0"/>
          <w:numId w:val="18"/>
        </w:numPr>
        <w:rPr>
          <w:color w:val="000000"/>
        </w:rPr>
      </w:pPr>
      <w:r>
        <w:rPr>
          <w:color w:val="000000"/>
        </w:rPr>
        <w:t>Resolve questions and adjustments through structured communication</w:t>
      </w:r>
    </w:p>
    <w:p w14:paraId="2367C81D" w14:textId="77777777" w:rsidR="00FA387A" w:rsidRDefault="00FA387A" w:rsidP="00FA387A">
      <w:pPr>
        <w:pStyle w:val="NormalWeb"/>
        <w:numPr>
          <w:ilvl w:val="0"/>
          <w:numId w:val="18"/>
        </w:numPr>
        <w:rPr>
          <w:color w:val="000000"/>
        </w:rPr>
      </w:pPr>
      <w:r>
        <w:rPr>
          <w:color w:val="000000"/>
        </w:rPr>
        <w:t>Confirm support ties out to final reporting</w:t>
      </w:r>
    </w:p>
    <w:p w14:paraId="5F74C7F1" w14:textId="77777777" w:rsidR="00FA387A" w:rsidRDefault="00FA387A" w:rsidP="00FA387A">
      <w:pPr>
        <w:pStyle w:val="NormalWeb"/>
        <w:rPr>
          <w:color w:val="000000"/>
        </w:rPr>
      </w:pPr>
      <w:r>
        <w:rPr>
          <w:rStyle w:val="Strong"/>
          <w:color w:val="000000"/>
        </w:rPr>
        <w:t>Why It Matters:</w:t>
      </w:r>
    </w:p>
    <w:p w14:paraId="1E27465D" w14:textId="77777777" w:rsidR="00FA387A" w:rsidRDefault="00FA387A" w:rsidP="00FA387A">
      <w:pPr>
        <w:pStyle w:val="NormalWeb"/>
        <w:numPr>
          <w:ilvl w:val="0"/>
          <w:numId w:val="19"/>
        </w:numPr>
        <w:rPr>
          <w:color w:val="000000"/>
        </w:rPr>
      </w:pPr>
      <w:r>
        <w:rPr>
          <w:color w:val="000000"/>
        </w:rPr>
        <w:t>Reduces the risk of avoidable errors</w:t>
      </w:r>
    </w:p>
    <w:p w14:paraId="63C32125" w14:textId="77777777" w:rsidR="00FA387A" w:rsidRDefault="00FA387A" w:rsidP="00FA387A">
      <w:pPr>
        <w:pStyle w:val="NormalWeb"/>
        <w:numPr>
          <w:ilvl w:val="0"/>
          <w:numId w:val="19"/>
        </w:numPr>
        <w:rPr>
          <w:color w:val="000000"/>
        </w:rPr>
      </w:pPr>
      <w:r>
        <w:rPr>
          <w:color w:val="000000"/>
        </w:rPr>
        <w:t>Prevents delays caused by late questions and unclear decisions</w:t>
      </w:r>
    </w:p>
    <w:p w14:paraId="4FDB6D98" w14:textId="77777777" w:rsidR="00FA387A" w:rsidRDefault="00FA387A" w:rsidP="00FA387A">
      <w:pPr>
        <w:pStyle w:val="NormalWeb"/>
        <w:numPr>
          <w:ilvl w:val="0"/>
          <w:numId w:val="19"/>
        </w:numPr>
        <w:rPr>
          <w:color w:val="000000"/>
        </w:rPr>
      </w:pPr>
      <w:r>
        <w:rPr>
          <w:color w:val="000000"/>
        </w:rPr>
        <w:t>Strengthens defensibility through disciplined review evidence</w:t>
      </w:r>
    </w:p>
    <w:p w14:paraId="3008424D" w14:textId="77777777" w:rsidR="00FA387A" w:rsidRDefault="00CF68E7" w:rsidP="00FA387A">
      <w:r>
        <w:rPr>
          <w:noProof/>
        </w:rPr>
        <w:pict w14:anchorId="76D68F17">
          <v:rect id="_x0000_i1026" alt="" style="width:431.95pt;height:.05pt;mso-width-percent:0;mso-height-percent:0;mso-width-percent:0;mso-height-percent:0" o:hrpct="923" o:hralign="center" o:hrstd="t" o:hr="t" fillcolor="#a0a0a0" stroked="f"/>
        </w:pict>
      </w:r>
    </w:p>
    <w:p w14:paraId="47E454E5" w14:textId="77777777" w:rsidR="00FA387A" w:rsidRDefault="00FA387A" w:rsidP="00FA387A">
      <w:pPr>
        <w:pStyle w:val="Heading3"/>
        <w:rPr>
          <w:color w:val="000000"/>
        </w:rPr>
      </w:pPr>
      <w:r>
        <w:rPr>
          <w:color w:val="000000"/>
        </w:rPr>
        <w:t>Card 6 — Reporting &amp; Issuance of Assurance</w:t>
      </w:r>
    </w:p>
    <w:p w14:paraId="1D99B5A0" w14:textId="3F98320A" w:rsidR="00FA387A" w:rsidRDefault="00FA387A" w:rsidP="00FA387A">
      <w:pPr>
        <w:pStyle w:val="NormalWeb"/>
        <w:rPr>
          <w:color w:val="000000"/>
        </w:rPr>
      </w:pPr>
      <w:r>
        <w:rPr>
          <w:color w:val="000000"/>
        </w:rPr>
        <w:t>We deliver the finalized financial statements and the appropriate report securely and on schedule. We confirm the deliverables are ready for stakeholder use and support limited follow-up tied to issuance and interpretation. Outputs are retained in a controlled manner to ensure future accessibility.</w:t>
      </w:r>
    </w:p>
    <w:p w14:paraId="2CD98C33" w14:textId="77777777" w:rsidR="00FA387A" w:rsidRDefault="00FA387A" w:rsidP="00FA387A">
      <w:pPr>
        <w:pStyle w:val="NormalWeb"/>
        <w:rPr>
          <w:color w:val="000000"/>
        </w:rPr>
      </w:pPr>
      <w:r>
        <w:rPr>
          <w:rStyle w:val="Strong"/>
          <w:color w:val="000000"/>
        </w:rPr>
        <w:t>Purpose:</w:t>
      </w:r>
    </w:p>
    <w:p w14:paraId="30E44889" w14:textId="77777777" w:rsidR="00FA387A" w:rsidRDefault="00FA387A" w:rsidP="00FA387A">
      <w:pPr>
        <w:pStyle w:val="NormalWeb"/>
        <w:numPr>
          <w:ilvl w:val="0"/>
          <w:numId w:val="20"/>
        </w:numPr>
        <w:rPr>
          <w:color w:val="000000"/>
        </w:rPr>
      </w:pPr>
      <w:r>
        <w:rPr>
          <w:color w:val="000000"/>
        </w:rPr>
        <w:t>Issue the correct report and final statements securely</w:t>
      </w:r>
    </w:p>
    <w:p w14:paraId="40BF789A" w14:textId="77777777" w:rsidR="00FA387A" w:rsidRDefault="00FA387A" w:rsidP="00FA387A">
      <w:pPr>
        <w:pStyle w:val="NormalWeb"/>
        <w:numPr>
          <w:ilvl w:val="0"/>
          <w:numId w:val="20"/>
        </w:numPr>
        <w:rPr>
          <w:color w:val="000000"/>
        </w:rPr>
      </w:pPr>
      <w:r>
        <w:rPr>
          <w:color w:val="000000"/>
        </w:rPr>
        <w:t>Confirm stakeholder-ready delivery and completion</w:t>
      </w:r>
    </w:p>
    <w:p w14:paraId="0C8274B4" w14:textId="77777777" w:rsidR="00FA387A" w:rsidRDefault="00FA387A" w:rsidP="00FA387A">
      <w:pPr>
        <w:pStyle w:val="NormalWeb"/>
        <w:numPr>
          <w:ilvl w:val="0"/>
          <w:numId w:val="20"/>
        </w:numPr>
        <w:rPr>
          <w:color w:val="000000"/>
        </w:rPr>
      </w:pPr>
      <w:r>
        <w:rPr>
          <w:color w:val="000000"/>
        </w:rPr>
        <w:t>Maintain controlled retention of final outputs</w:t>
      </w:r>
    </w:p>
    <w:p w14:paraId="03C3DF2F" w14:textId="77777777" w:rsidR="00FA387A" w:rsidRDefault="00FA387A" w:rsidP="00FA387A">
      <w:pPr>
        <w:pStyle w:val="NormalWeb"/>
        <w:rPr>
          <w:color w:val="000000"/>
        </w:rPr>
      </w:pPr>
      <w:r>
        <w:rPr>
          <w:rStyle w:val="Strong"/>
          <w:color w:val="000000"/>
        </w:rPr>
        <w:lastRenderedPageBreak/>
        <w:t>Why It Matters:</w:t>
      </w:r>
    </w:p>
    <w:p w14:paraId="0C55AD9F" w14:textId="77777777" w:rsidR="00FA387A" w:rsidRDefault="00FA387A" w:rsidP="00FA387A">
      <w:pPr>
        <w:pStyle w:val="NormalWeb"/>
        <w:numPr>
          <w:ilvl w:val="0"/>
          <w:numId w:val="21"/>
        </w:numPr>
        <w:rPr>
          <w:color w:val="000000"/>
        </w:rPr>
      </w:pPr>
      <w:r>
        <w:rPr>
          <w:color w:val="000000"/>
        </w:rPr>
        <w:t>Supports lender, investor, and regulatory expectations</w:t>
      </w:r>
    </w:p>
    <w:p w14:paraId="4DF2724B" w14:textId="77777777" w:rsidR="00FA387A" w:rsidRDefault="00FA387A" w:rsidP="00FA387A">
      <w:pPr>
        <w:pStyle w:val="NormalWeb"/>
        <w:numPr>
          <w:ilvl w:val="0"/>
          <w:numId w:val="21"/>
        </w:numPr>
        <w:rPr>
          <w:color w:val="000000"/>
        </w:rPr>
      </w:pPr>
      <w:r>
        <w:rPr>
          <w:color w:val="000000"/>
        </w:rPr>
        <w:t>Improves credibility through consistent, timely delivery</w:t>
      </w:r>
    </w:p>
    <w:p w14:paraId="691796AA" w14:textId="77777777" w:rsidR="00FA387A" w:rsidRDefault="00FA387A" w:rsidP="00FA387A">
      <w:pPr>
        <w:pStyle w:val="NormalWeb"/>
        <w:numPr>
          <w:ilvl w:val="0"/>
          <w:numId w:val="21"/>
        </w:numPr>
        <w:rPr>
          <w:color w:val="000000"/>
        </w:rPr>
      </w:pPr>
      <w:r>
        <w:rPr>
          <w:color w:val="000000"/>
        </w:rPr>
        <w:t>Preserves reliable records for future reference and inquiries</w:t>
      </w:r>
    </w:p>
    <w:p w14:paraId="48FBD56B" w14:textId="77777777" w:rsidR="00FA387A" w:rsidRDefault="00CF68E7" w:rsidP="00FA387A">
      <w:r>
        <w:rPr>
          <w:noProof/>
        </w:rPr>
        <w:pict w14:anchorId="359E69F8">
          <v:rect id="_x0000_i1025" alt="" style="width:431.95pt;height:.05pt;mso-width-percent:0;mso-height-percent:0;mso-width-percent:0;mso-height-percent:0" o:hrpct="923" o:hralign="center" o:hrstd="t" o:hr="t" fillcolor="#a0a0a0" stroked="f"/>
        </w:pict>
      </w:r>
    </w:p>
    <w:p w14:paraId="003745AA" w14:textId="77777777" w:rsidR="00FA387A" w:rsidRDefault="00FA387A" w:rsidP="00FA387A">
      <w:pPr>
        <w:pStyle w:val="Heading3"/>
        <w:rPr>
          <w:color w:val="000000"/>
        </w:rPr>
      </w:pPr>
      <w:r>
        <w:rPr>
          <w:color w:val="000000"/>
        </w:rPr>
        <w:t>Card 7 — Post-Engagement Insights &amp; Ongoing Readiness</w:t>
      </w:r>
    </w:p>
    <w:p w14:paraId="63782B6D" w14:textId="28F4B624" w:rsidR="00FA387A" w:rsidRDefault="00FA387A" w:rsidP="00FA387A">
      <w:pPr>
        <w:pStyle w:val="NormalWeb"/>
        <w:rPr>
          <w:color w:val="000000"/>
        </w:rPr>
      </w:pPr>
      <w:r>
        <w:rPr>
          <w:color w:val="000000"/>
        </w:rPr>
        <w:t>After issuance, we provide practical observations that reduce friction in future cycles. Recommendations typically focus on documentation discipline, close readiness, and control improvements that support smoother execution over time. This stage helps organizations build repeatable readiness rather than restarting each year.</w:t>
      </w:r>
    </w:p>
    <w:p w14:paraId="1426D5EF" w14:textId="77777777" w:rsidR="00FA387A" w:rsidRDefault="00FA387A" w:rsidP="00FA387A">
      <w:pPr>
        <w:pStyle w:val="NormalWeb"/>
        <w:rPr>
          <w:color w:val="000000"/>
        </w:rPr>
      </w:pPr>
      <w:r>
        <w:rPr>
          <w:rStyle w:val="Strong"/>
          <w:color w:val="000000"/>
        </w:rPr>
        <w:t>Purpose:</w:t>
      </w:r>
    </w:p>
    <w:p w14:paraId="30E9F1D0" w14:textId="77777777" w:rsidR="00FA387A" w:rsidRDefault="00FA387A" w:rsidP="00FA387A">
      <w:pPr>
        <w:pStyle w:val="NormalWeb"/>
        <w:numPr>
          <w:ilvl w:val="0"/>
          <w:numId w:val="22"/>
        </w:numPr>
        <w:rPr>
          <w:color w:val="000000"/>
        </w:rPr>
      </w:pPr>
      <w:r>
        <w:rPr>
          <w:color w:val="000000"/>
        </w:rPr>
        <w:t>Identify readiness improvements that reduce repeat engagement effort</w:t>
      </w:r>
    </w:p>
    <w:p w14:paraId="19EE970D" w14:textId="77777777" w:rsidR="00FA387A" w:rsidRDefault="00FA387A" w:rsidP="00FA387A">
      <w:pPr>
        <w:pStyle w:val="NormalWeb"/>
        <w:numPr>
          <w:ilvl w:val="0"/>
          <w:numId w:val="22"/>
        </w:numPr>
        <w:rPr>
          <w:color w:val="000000"/>
        </w:rPr>
      </w:pPr>
      <w:r>
        <w:rPr>
          <w:color w:val="000000"/>
        </w:rPr>
        <w:t>Strengthen documentation and process discipline for future cycles</w:t>
      </w:r>
    </w:p>
    <w:p w14:paraId="71258312" w14:textId="77777777" w:rsidR="00FA387A" w:rsidRDefault="00FA387A" w:rsidP="00FA387A">
      <w:pPr>
        <w:pStyle w:val="NormalWeb"/>
        <w:numPr>
          <w:ilvl w:val="0"/>
          <w:numId w:val="22"/>
        </w:numPr>
        <w:rPr>
          <w:color w:val="000000"/>
        </w:rPr>
      </w:pPr>
      <w:r>
        <w:rPr>
          <w:color w:val="000000"/>
        </w:rPr>
        <w:t>Align next-step support to ongoing reporting and governance needs</w:t>
      </w:r>
    </w:p>
    <w:p w14:paraId="47222FF7" w14:textId="77777777" w:rsidR="00FA387A" w:rsidRDefault="00FA387A" w:rsidP="00FA387A">
      <w:pPr>
        <w:pStyle w:val="NormalWeb"/>
        <w:rPr>
          <w:color w:val="000000"/>
        </w:rPr>
      </w:pPr>
      <w:r>
        <w:rPr>
          <w:rStyle w:val="Strong"/>
          <w:color w:val="000000"/>
        </w:rPr>
        <w:t>Why It Matters:</w:t>
      </w:r>
    </w:p>
    <w:p w14:paraId="0596FC43" w14:textId="77777777" w:rsidR="00FA387A" w:rsidRDefault="00FA387A" w:rsidP="00FA387A">
      <w:pPr>
        <w:pStyle w:val="NormalWeb"/>
        <w:numPr>
          <w:ilvl w:val="0"/>
          <w:numId w:val="23"/>
        </w:numPr>
        <w:rPr>
          <w:color w:val="000000"/>
        </w:rPr>
      </w:pPr>
      <w:r>
        <w:rPr>
          <w:color w:val="000000"/>
        </w:rPr>
        <w:t>Lowers future engagement time and disruption</w:t>
      </w:r>
    </w:p>
    <w:p w14:paraId="0C584E8A" w14:textId="77777777" w:rsidR="00FA387A" w:rsidRDefault="00FA387A" w:rsidP="00FA387A">
      <w:pPr>
        <w:pStyle w:val="NormalWeb"/>
        <w:numPr>
          <w:ilvl w:val="0"/>
          <w:numId w:val="23"/>
        </w:numPr>
        <w:rPr>
          <w:color w:val="000000"/>
        </w:rPr>
      </w:pPr>
      <w:r>
        <w:rPr>
          <w:color w:val="000000"/>
        </w:rPr>
        <w:t>Improves long-term reporting reliability and control</w:t>
      </w:r>
    </w:p>
    <w:p w14:paraId="32C9C074" w14:textId="77777777" w:rsidR="00FA387A" w:rsidRDefault="00FA387A" w:rsidP="00FA387A">
      <w:pPr>
        <w:pStyle w:val="NormalWeb"/>
        <w:numPr>
          <w:ilvl w:val="0"/>
          <w:numId w:val="23"/>
        </w:numPr>
        <w:rPr>
          <w:color w:val="000000"/>
        </w:rPr>
      </w:pPr>
      <w:r>
        <w:rPr>
          <w:color w:val="000000"/>
        </w:rPr>
        <w:t>Increases scalability as stakeholder scrutiny grows</w:t>
      </w:r>
    </w:p>
    <w:p w14:paraId="5D65D613" w14:textId="5BCBB2F4" w:rsidR="00FA65ED" w:rsidRPr="00FA387A" w:rsidRDefault="00FA65ED" w:rsidP="00FA387A"/>
    <w:sectPr w:rsidR="00FA65ED" w:rsidRPr="00FA387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406C41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04872"/>
    <w:multiLevelType w:val="multilevel"/>
    <w:tmpl w:val="FBDA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3603B"/>
    <w:multiLevelType w:val="multilevel"/>
    <w:tmpl w:val="0B9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672FD"/>
    <w:multiLevelType w:val="multilevel"/>
    <w:tmpl w:val="50CE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A21510"/>
    <w:multiLevelType w:val="multilevel"/>
    <w:tmpl w:val="7EDA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83FFA"/>
    <w:multiLevelType w:val="multilevel"/>
    <w:tmpl w:val="15AC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6843A8"/>
    <w:multiLevelType w:val="multilevel"/>
    <w:tmpl w:val="89A6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E560E"/>
    <w:multiLevelType w:val="multilevel"/>
    <w:tmpl w:val="2A8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C40B9"/>
    <w:multiLevelType w:val="multilevel"/>
    <w:tmpl w:val="9296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BC5DD6"/>
    <w:multiLevelType w:val="multilevel"/>
    <w:tmpl w:val="4FF2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06088F"/>
    <w:multiLevelType w:val="multilevel"/>
    <w:tmpl w:val="27B0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CF6BE0"/>
    <w:multiLevelType w:val="multilevel"/>
    <w:tmpl w:val="657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7C4EF5"/>
    <w:multiLevelType w:val="multilevel"/>
    <w:tmpl w:val="A250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2F54D0"/>
    <w:multiLevelType w:val="multilevel"/>
    <w:tmpl w:val="F9F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2549F"/>
    <w:multiLevelType w:val="multilevel"/>
    <w:tmpl w:val="2CB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3115995">
    <w:abstractNumId w:val="8"/>
  </w:num>
  <w:num w:numId="2" w16cid:durableId="1279408780">
    <w:abstractNumId w:val="6"/>
  </w:num>
  <w:num w:numId="3" w16cid:durableId="1471284373">
    <w:abstractNumId w:val="5"/>
  </w:num>
  <w:num w:numId="4" w16cid:durableId="1943411511">
    <w:abstractNumId w:val="4"/>
  </w:num>
  <w:num w:numId="5" w16cid:durableId="376274739">
    <w:abstractNumId w:val="7"/>
  </w:num>
  <w:num w:numId="6" w16cid:durableId="1060056959">
    <w:abstractNumId w:val="3"/>
  </w:num>
  <w:num w:numId="7" w16cid:durableId="171186960">
    <w:abstractNumId w:val="2"/>
  </w:num>
  <w:num w:numId="8" w16cid:durableId="932864024">
    <w:abstractNumId w:val="1"/>
  </w:num>
  <w:num w:numId="9" w16cid:durableId="2111317510">
    <w:abstractNumId w:val="0"/>
  </w:num>
  <w:num w:numId="10" w16cid:durableId="10954657">
    <w:abstractNumId w:val="21"/>
  </w:num>
  <w:num w:numId="11" w16cid:durableId="219487755">
    <w:abstractNumId w:val="12"/>
  </w:num>
  <w:num w:numId="12" w16cid:durableId="1442607781">
    <w:abstractNumId w:val="16"/>
  </w:num>
  <w:num w:numId="13" w16cid:durableId="780298122">
    <w:abstractNumId w:val="20"/>
  </w:num>
  <w:num w:numId="14" w16cid:durableId="1410037577">
    <w:abstractNumId w:val="19"/>
  </w:num>
  <w:num w:numId="15" w16cid:durableId="1525291079">
    <w:abstractNumId w:val="22"/>
  </w:num>
  <w:num w:numId="16" w16cid:durableId="1268779346">
    <w:abstractNumId w:val="10"/>
  </w:num>
  <w:num w:numId="17" w16cid:durableId="2035571334">
    <w:abstractNumId w:val="15"/>
  </w:num>
  <w:num w:numId="18" w16cid:durableId="1944872985">
    <w:abstractNumId w:val="9"/>
  </w:num>
  <w:num w:numId="19" w16cid:durableId="117382366">
    <w:abstractNumId w:val="17"/>
  </w:num>
  <w:num w:numId="20" w16cid:durableId="1528449552">
    <w:abstractNumId w:val="14"/>
  </w:num>
  <w:num w:numId="21" w16cid:durableId="308219144">
    <w:abstractNumId w:val="11"/>
  </w:num>
  <w:num w:numId="22" w16cid:durableId="390349476">
    <w:abstractNumId w:val="13"/>
  </w:num>
  <w:num w:numId="23" w16cid:durableId="1786683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CD6F65"/>
    <w:rsid w:val="00CF68E7"/>
    <w:rsid w:val="00FA387A"/>
    <w:rsid w:val="00FA65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CCA6B9"/>
  <w14:defaultImageDpi w14:val="300"/>
  <w15:docId w15:val="{E3392A07-D58E-EE4B-B60E-88D48D9F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A387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726</Words>
  <Characters>5235</Characters>
  <Application>Microsoft Office Word</Application>
  <DocSecurity>0</DocSecurity>
  <Lines>116</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nischal siwakoti</cp:lastModifiedBy>
  <cp:revision>2</cp:revision>
  <dcterms:created xsi:type="dcterms:W3CDTF">2013-12-23T23:15:00Z</dcterms:created>
  <dcterms:modified xsi:type="dcterms:W3CDTF">2026-02-01T21:45:00Z</dcterms:modified>
  <cp:category/>
</cp:coreProperties>
</file>