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DF2B" w14:textId="77777777" w:rsidR="00EC3557" w:rsidRDefault="00EC3557" w:rsidP="00EC3557">
      <w:pPr>
        <w:pStyle w:val="Heading2"/>
        <w:rPr>
          <w:color w:val="000000"/>
        </w:rPr>
      </w:pPr>
      <w:r>
        <w:rPr>
          <w:color w:val="000000"/>
        </w:rPr>
        <w:t>Specialized Accounting Services for the Construction Industry</w:t>
      </w:r>
    </w:p>
    <w:p w14:paraId="05D248EB" w14:textId="77777777" w:rsidR="00EC3557" w:rsidRDefault="00EC3557" w:rsidP="00EC3557">
      <w:pPr>
        <w:pStyle w:val="Heading3"/>
        <w:rPr>
          <w:color w:val="000000"/>
        </w:rPr>
      </w:pPr>
      <w:r>
        <w:rPr>
          <w:color w:val="000000"/>
        </w:rPr>
        <w:t>Service Summary (3–5 Sentences)</w:t>
      </w:r>
    </w:p>
    <w:p w14:paraId="6F44201B" w14:textId="77777777" w:rsidR="00EC3557" w:rsidRDefault="00EC3557" w:rsidP="00EC3557">
      <w:pPr>
        <w:pStyle w:val="NormalWeb"/>
        <w:rPr>
          <w:color w:val="000000"/>
        </w:rPr>
      </w:pPr>
      <w:r>
        <w:rPr>
          <w:color w:val="000000"/>
        </w:rPr>
        <w:t>Specialized Accounting Services for the Construction Industry provides industry-aware accounting, tax, and reporting discipline designed to improve margin visibility, cash control, and compliance reliability. Construction businesses often face operational complexity that creates reporting delays, weak controls, and limited decision confidence when financial processes are not structured. Quantum delivers a governance-first, control-driven approach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daily activity into consistent, audit-ready reporting. The outcome is clearer profitability insight, stronger operational control, and stakeholder-ready financial credibility.</w:t>
      </w:r>
    </w:p>
    <w:p w14:paraId="2390A99E" w14:textId="77777777" w:rsidR="00EC3557" w:rsidRDefault="000C6B72" w:rsidP="00EC3557">
      <w:r>
        <w:rPr>
          <w:noProof/>
        </w:rPr>
        <w:pict w14:anchorId="7AEA1764">
          <v:rect id="_x0000_i1030" alt="" style="width:431.95pt;height:.05pt;mso-width-percent:0;mso-height-percent:0;mso-width-percent:0;mso-height-percent:0" o:hrpct="923" o:hralign="center" o:hrstd="t" o:hr="t" fillcolor="#a0a0a0" stroked="f"/>
        </w:pict>
      </w:r>
    </w:p>
    <w:p w14:paraId="7FC7C4F9" w14:textId="77777777" w:rsidR="00EC3557" w:rsidRDefault="00EC3557" w:rsidP="00EC3557">
      <w:pPr>
        <w:pStyle w:val="Heading3"/>
        <w:rPr>
          <w:color w:val="000000"/>
        </w:rPr>
      </w:pPr>
      <w:r>
        <w:rPr>
          <w:color w:val="000000"/>
        </w:rPr>
        <w:t>Service Cards (Website Tiles)</w:t>
      </w:r>
    </w:p>
    <w:p w14:paraId="2DDC759A" w14:textId="77777777" w:rsidR="00EC3557" w:rsidRDefault="00EC3557" w:rsidP="00EC3557">
      <w:pPr>
        <w:pStyle w:val="Heading4"/>
        <w:rPr>
          <w:color w:val="000000"/>
        </w:rPr>
      </w:pPr>
      <w:r>
        <w:rPr>
          <w:color w:val="000000"/>
        </w:rPr>
        <w:t>Card 1: Operating &amp; Financial Discovery</w:t>
      </w:r>
    </w:p>
    <w:p w14:paraId="7D98530F" w14:textId="77777777" w:rsidR="00EC3557" w:rsidRDefault="00EC3557" w:rsidP="00EC3557">
      <w:pPr>
        <w:pStyle w:val="NormalWeb"/>
        <w:rPr>
          <w:color w:val="000000"/>
        </w:rPr>
      </w:pPr>
      <w:r>
        <w:rPr>
          <w:color w:val="000000"/>
        </w:rPr>
        <w:t>This step surfaces how work is actually won, executed, billed, and collected—including where financial outcomes are created or lost across the project lifecycle. It also clarifies the critical handoffs between field activity and back-office reporting that commonly drive inconsistencies.</w:t>
      </w:r>
      <w:r>
        <w:rPr>
          <w:color w:val="000000"/>
        </w:rPr>
        <w:br/>
      </w:r>
      <w:r>
        <w:rPr>
          <w:rStyle w:val="Strong"/>
          <w:rFonts w:eastAsiaTheme="majorEastAsia"/>
          <w:color w:val="000000"/>
        </w:rPr>
        <w:t>Purpose</w:t>
      </w:r>
    </w:p>
    <w:p w14:paraId="57B7568A" w14:textId="77777777" w:rsidR="00EC3557" w:rsidRDefault="00EC3557" w:rsidP="00EC3557">
      <w:pPr>
        <w:pStyle w:val="NormalWeb"/>
        <w:numPr>
          <w:ilvl w:val="0"/>
          <w:numId w:val="10"/>
        </w:numPr>
        <w:rPr>
          <w:color w:val="000000"/>
        </w:rPr>
      </w:pPr>
      <w:r>
        <w:rPr>
          <w:color w:val="000000"/>
        </w:rPr>
        <w:t>Understand the operating model, revenue drivers, cost structure, and reporting needs</w:t>
      </w:r>
    </w:p>
    <w:p w14:paraId="2F7FE225" w14:textId="77777777" w:rsidR="00EC3557" w:rsidRDefault="00EC3557" w:rsidP="00EC3557">
      <w:pPr>
        <w:pStyle w:val="NormalWeb"/>
        <w:numPr>
          <w:ilvl w:val="0"/>
          <w:numId w:val="10"/>
        </w:numPr>
        <w:rPr>
          <w:color w:val="000000"/>
        </w:rPr>
      </w:pPr>
      <w:r>
        <w:rPr>
          <w:color w:val="000000"/>
        </w:rPr>
        <w:t>Identify key risk areas, control gaps, and data sources that impact accuracy</w:t>
      </w:r>
    </w:p>
    <w:p w14:paraId="58138280" w14:textId="77777777" w:rsidR="00EC3557" w:rsidRDefault="00EC3557" w:rsidP="00EC3557">
      <w:pPr>
        <w:pStyle w:val="NormalWeb"/>
        <w:numPr>
          <w:ilvl w:val="0"/>
          <w:numId w:val="10"/>
        </w:numPr>
        <w:rPr>
          <w:color w:val="000000"/>
        </w:rPr>
      </w:pPr>
      <w:r>
        <w:rPr>
          <w:color w:val="000000"/>
        </w:rPr>
        <w:t>Define scope, cadence, and responsibilities for consistent execution</w:t>
      </w:r>
    </w:p>
    <w:p w14:paraId="7F825943" w14:textId="77777777" w:rsidR="00EC3557" w:rsidRDefault="00EC3557" w:rsidP="00EC3557">
      <w:pPr>
        <w:pStyle w:val="NormalWeb"/>
        <w:rPr>
          <w:color w:val="000000"/>
        </w:rPr>
      </w:pPr>
      <w:r>
        <w:rPr>
          <w:rStyle w:val="Strong"/>
          <w:rFonts w:eastAsiaTheme="majorEastAsia"/>
          <w:color w:val="000000"/>
        </w:rPr>
        <w:t>Why It Matters</w:t>
      </w:r>
    </w:p>
    <w:p w14:paraId="46A76DB4" w14:textId="77777777" w:rsidR="00EC3557" w:rsidRDefault="00EC3557" w:rsidP="00EC3557">
      <w:pPr>
        <w:pStyle w:val="NormalWeb"/>
        <w:numPr>
          <w:ilvl w:val="0"/>
          <w:numId w:val="11"/>
        </w:numPr>
        <w:rPr>
          <w:color w:val="000000"/>
        </w:rPr>
      </w:pPr>
      <w:r>
        <w:rPr>
          <w:color w:val="000000"/>
        </w:rPr>
        <w:t>Improves clarity and reduces misalignment early</w:t>
      </w:r>
    </w:p>
    <w:p w14:paraId="202870BA" w14:textId="77777777" w:rsidR="00EC3557" w:rsidRDefault="00EC3557" w:rsidP="00EC3557">
      <w:pPr>
        <w:pStyle w:val="NormalWeb"/>
        <w:numPr>
          <w:ilvl w:val="0"/>
          <w:numId w:val="11"/>
        </w:numPr>
        <w:rPr>
          <w:color w:val="000000"/>
        </w:rPr>
      </w:pPr>
      <w:r>
        <w:rPr>
          <w:color w:val="000000"/>
        </w:rPr>
        <w:t>Prevents recurring errors caused by incomplete context</w:t>
      </w:r>
    </w:p>
    <w:p w14:paraId="4A795D58" w14:textId="77777777" w:rsidR="00EC3557" w:rsidRDefault="00EC3557" w:rsidP="00EC3557">
      <w:pPr>
        <w:pStyle w:val="NormalWeb"/>
        <w:numPr>
          <w:ilvl w:val="0"/>
          <w:numId w:val="11"/>
        </w:numPr>
        <w:rPr>
          <w:color w:val="000000"/>
        </w:rPr>
      </w:pPr>
      <w:r>
        <w:rPr>
          <w:color w:val="000000"/>
        </w:rPr>
        <w:t>Creates a controlled foundation for reliable reporting</w:t>
      </w:r>
    </w:p>
    <w:p w14:paraId="2CFEE7A4" w14:textId="77777777" w:rsidR="00EC3557" w:rsidRDefault="000C6B72" w:rsidP="00EC3557">
      <w:r>
        <w:rPr>
          <w:noProof/>
        </w:rPr>
        <w:pict w14:anchorId="4026E045">
          <v:rect id="_x0000_i1029" alt="" style="width:431.95pt;height:.05pt;mso-width-percent:0;mso-height-percent:0;mso-width-percent:0;mso-height-percent:0" o:hrpct="923" o:hralign="center" o:hrstd="t" o:hr="t" fillcolor="#a0a0a0" stroked="f"/>
        </w:pict>
      </w:r>
    </w:p>
    <w:p w14:paraId="4A093CEB" w14:textId="77777777" w:rsidR="00EC3557" w:rsidRDefault="00EC3557" w:rsidP="00EC3557">
      <w:pPr>
        <w:pStyle w:val="Heading4"/>
        <w:rPr>
          <w:color w:val="000000"/>
        </w:rPr>
      </w:pPr>
      <w:r>
        <w:rPr>
          <w:color w:val="000000"/>
        </w:rPr>
        <w:t>Card 2: Accounting Framework &amp; Reporting Structure</w:t>
      </w:r>
    </w:p>
    <w:p w14:paraId="5F72E201" w14:textId="77777777" w:rsidR="00EC3557" w:rsidRDefault="00EC3557" w:rsidP="00EC3557">
      <w:pPr>
        <w:pStyle w:val="NormalWeb"/>
        <w:rPr>
          <w:color w:val="000000"/>
        </w:rPr>
      </w:pPr>
      <w:r>
        <w:rPr>
          <w:color w:val="000000"/>
        </w:rPr>
        <w:t>This step ensures financial reporting reflects construction realities such as job cost structure, change orders, retainage, and project-based profitability analysis. It also prepares the reporting foundation to support consistent interpretation across periods, projects, and stakeholders.</w:t>
      </w:r>
      <w:r>
        <w:rPr>
          <w:color w:val="000000"/>
        </w:rPr>
        <w:br/>
      </w:r>
      <w:r>
        <w:rPr>
          <w:rStyle w:val="Strong"/>
          <w:rFonts w:eastAsiaTheme="majorEastAsia"/>
          <w:color w:val="000000"/>
        </w:rPr>
        <w:t>Purpose</w:t>
      </w:r>
    </w:p>
    <w:p w14:paraId="55552A03" w14:textId="77777777" w:rsidR="00EC3557" w:rsidRDefault="00EC3557" w:rsidP="00EC3557">
      <w:pPr>
        <w:pStyle w:val="NormalWeb"/>
        <w:numPr>
          <w:ilvl w:val="0"/>
          <w:numId w:val="12"/>
        </w:numPr>
        <w:rPr>
          <w:color w:val="000000"/>
        </w:rPr>
      </w:pPr>
      <w:r>
        <w:rPr>
          <w:color w:val="000000"/>
        </w:rPr>
        <w:lastRenderedPageBreak/>
        <w:t>Design or refine the chart of accounts and reporting structure to match operations</w:t>
      </w:r>
    </w:p>
    <w:p w14:paraId="3F399346" w14:textId="77777777" w:rsidR="00EC3557" w:rsidRDefault="00EC3557" w:rsidP="00EC3557">
      <w:pPr>
        <w:pStyle w:val="NormalWeb"/>
        <w:numPr>
          <w:ilvl w:val="0"/>
          <w:numId w:val="12"/>
        </w:numPr>
        <w:rPr>
          <w:color w:val="000000"/>
        </w:rPr>
      </w:pPr>
      <w:r>
        <w:rPr>
          <w:color w:val="000000"/>
        </w:rPr>
        <w:t>Define classification rules and documentation standards for consistency</w:t>
      </w:r>
    </w:p>
    <w:p w14:paraId="1ED3CAA2" w14:textId="77777777" w:rsidR="00EC3557" w:rsidRDefault="00EC3557" w:rsidP="00EC3557">
      <w:pPr>
        <w:pStyle w:val="NormalWeb"/>
        <w:numPr>
          <w:ilvl w:val="0"/>
          <w:numId w:val="12"/>
        </w:numPr>
        <w:rPr>
          <w:color w:val="000000"/>
        </w:rPr>
      </w:pPr>
      <w:r>
        <w:rPr>
          <w:color w:val="000000"/>
        </w:rPr>
        <w:t>Align structure to support scale and stakeholder expectations</w:t>
      </w:r>
    </w:p>
    <w:p w14:paraId="3E117966" w14:textId="77777777" w:rsidR="00EC3557" w:rsidRDefault="00EC3557" w:rsidP="00EC3557">
      <w:pPr>
        <w:pStyle w:val="NormalWeb"/>
        <w:rPr>
          <w:color w:val="000000"/>
        </w:rPr>
      </w:pPr>
      <w:r>
        <w:rPr>
          <w:rStyle w:val="Strong"/>
          <w:rFonts w:eastAsiaTheme="majorEastAsia"/>
          <w:color w:val="000000"/>
        </w:rPr>
        <w:t>Why It Matters</w:t>
      </w:r>
    </w:p>
    <w:p w14:paraId="3F6B2202" w14:textId="77777777" w:rsidR="00EC3557" w:rsidRDefault="00EC3557" w:rsidP="00EC3557">
      <w:pPr>
        <w:pStyle w:val="NormalWeb"/>
        <w:numPr>
          <w:ilvl w:val="0"/>
          <w:numId w:val="13"/>
        </w:numPr>
        <w:rPr>
          <w:color w:val="000000"/>
        </w:rPr>
      </w:pPr>
      <w:r>
        <w:rPr>
          <w:color w:val="000000"/>
        </w:rPr>
        <w:t>Improves usefulness and comparability of financial statements</w:t>
      </w:r>
    </w:p>
    <w:p w14:paraId="0C048C68" w14:textId="77777777" w:rsidR="00EC3557" w:rsidRDefault="00EC3557" w:rsidP="00EC3557">
      <w:pPr>
        <w:pStyle w:val="NormalWeb"/>
        <w:numPr>
          <w:ilvl w:val="0"/>
          <w:numId w:val="13"/>
        </w:numPr>
        <w:rPr>
          <w:color w:val="000000"/>
        </w:rPr>
      </w:pPr>
      <w:r>
        <w:rPr>
          <w:color w:val="000000"/>
        </w:rPr>
        <w:t>Reduces rework during tax and assurance cycles</w:t>
      </w:r>
    </w:p>
    <w:p w14:paraId="258B37EB" w14:textId="77777777" w:rsidR="00EC3557" w:rsidRDefault="00EC3557" w:rsidP="00EC3557">
      <w:pPr>
        <w:pStyle w:val="NormalWeb"/>
        <w:numPr>
          <w:ilvl w:val="0"/>
          <w:numId w:val="13"/>
        </w:numPr>
        <w:rPr>
          <w:color w:val="000000"/>
        </w:rPr>
      </w:pPr>
      <w:r>
        <w:rPr>
          <w:color w:val="000000"/>
        </w:rPr>
        <w:t>Strengthens control over how performance is measured</w:t>
      </w:r>
    </w:p>
    <w:p w14:paraId="68ECE672" w14:textId="77777777" w:rsidR="00EC3557" w:rsidRDefault="000C6B72" w:rsidP="00EC3557">
      <w:r>
        <w:rPr>
          <w:noProof/>
        </w:rPr>
        <w:pict w14:anchorId="235BE9B6">
          <v:rect id="_x0000_i1028" alt="" style="width:431.95pt;height:.05pt;mso-width-percent:0;mso-height-percent:0;mso-width-percent:0;mso-height-percent:0" o:hrpct="923" o:hralign="center" o:hrstd="t" o:hr="t" fillcolor="#a0a0a0" stroked="f"/>
        </w:pict>
      </w:r>
    </w:p>
    <w:p w14:paraId="63518678" w14:textId="77777777" w:rsidR="00EC3557" w:rsidRDefault="00EC3557" w:rsidP="00EC3557">
      <w:pPr>
        <w:pStyle w:val="Heading4"/>
        <w:rPr>
          <w:color w:val="000000"/>
        </w:rPr>
      </w:pPr>
      <w:r>
        <w:rPr>
          <w:color w:val="000000"/>
        </w:rPr>
        <w:t>Card 3: Bookkeeping, Reconciliation &amp; Close Discipline</w:t>
      </w:r>
    </w:p>
    <w:p w14:paraId="49A08861" w14:textId="77777777" w:rsidR="00EC3557" w:rsidRDefault="00EC3557" w:rsidP="00EC3557">
      <w:pPr>
        <w:pStyle w:val="NormalWeb"/>
        <w:rPr>
          <w:color w:val="000000"/>
        </w:rPr>
      </w:pPr>
      <w:r>
        <w:rPr>
          <w:color w:val="000000"/>
        </w:rPr>
        <w:t>This step establishes disciplined close routines that prevent job cost drift and keep project financials synchronized with bank activity, vendor activity, and internal tracking. It also creates evidence discipline so project-level balances can be explained without reconstructing history under pressure.</w:t>
      </w:r>
      <w:r>
        <w:rPr>
          <w:color w:val="000000"/>
        </w:rPr>
        <w:br/>
      </w:r>
      <w:r>
        <w:rPr>
          <w:rStyle w:val="Strong"/>
          <w:rFonts w:eastAsiaTheme="majorEastAsia"/>
          <w:color w:val="000000"/>
        </w:rPr>
        <w:t>Purpose</w:t>
      </w:r>
    </w:p>
    <w:p w14:paraId="2E9CC276" w14:textId="77777777" w:rsidR="00EC3557" w:rsidRDefault="00EC3557" w:rsidP="00EC3557">
      <w:pPr>
        <w:pStyle w:val="NormalWeb"/>
        <w:numPr>
          <w:ilvl w:val="0"/>
          <w:numId w:val="14"/>
        </w:numPr>
        <w:rPr>
          <w:color w:val="000000"/>
        </w:rPr>
      </w:pPr>
      <w:r>
        <w:rPr>
          <w:color w:val="000000"/>
        </w:rPr>
        <w:t>Process transactions using standardized rules and review checks</w:t>
      </w:r>
    </w:p>
    <w:p w14:paraId="4EDCFECF" w14:textId="77777777" w:rsidR="00EC3557" w:rsidRDefault="00EC3557" w:rsidP="00EC3557">
      <w:pPr>
        <w:pStyle w:val="NormalWeb"/>
        <w:numPr>
          <w:ilvl w:val="0"/>
          <w:numId w:val="14"/>
        </w:numPr>
        <w:rPr>
          <w:color w:val="000000"/>
        </w:rPr>
      </w:pPr>
      <w:r>
        <w:rPr>
          <w:color w:val="000000"/>
        </w:rPr>
        <w:t>Reconcile key accounts and investigate exceptions each cycle</w:t>
      </w:r>
    </w:p>
    <w:p w14:paraId="0F283227" w14:textId="77777777" w:rsidR="00EC3557" w:rsidRDefault="00EC3557" w:rsidP="00EC3557">
      <w:pPr>
        <w:pStyle w:val="NormalWeb"/>
        <w:numPr>
          <w:ilvl w:val="0"/>
          <w:numId w:val="14"/>
        </w:numPr>
        <w:rPr>
          <w:color w:val="000000"/>
        </w:rPr>
      </w:pPr>
      <w:r>
        <w:rPr>
          <w:color w:val="000000"/>
        </w:rPr>
        <w:t>Maintain close checklists and documentation for traceability</w:t>
      </w:r>
    </w:p>
    <w:p w14:paraId="1418CBAD" w14:textId="77777777" w:rsidR="00EC3557" w:rsidRDefault="00EC3557" w:rsidP="00EC3557">
      <w:pPr>
        <w:pStyle w:val="NormalWeb"/>
        <w:rPr>
          <w:color w:val="000000"/>
        </w:rPr>
      </w:pPr>
      <w:r>
        <w:rPr>
          <w:rStyle w:val="Strong"/>
          <w:rFonts w:eastAsiaTheme="majorEastAsia"/>
          <w:color w:val="000000"/>
        </w:rPr>
        <w:t>Why It Matters</w:t>
      </w:r>
    </w:p>
    <w:p w14:paraId="164A6698" w14:textId="77777777" w:rsidR="00EC3557" w:rsidRDefault="00EC3557" w:rsidP="00EC3557">
      <w:pPr>
        <w:pStyle w:val="NormalWeb"/>
        <w:numPr>
          <w:ilvl w:val="0"/>
          <w:numId w:val="15"/>
        </w:numPr>
        <w:rPr>
          <w:color w:val="000000"/>
        </w:rPr>
      </w:pPr>
      <w:r>
        <w:rPr>
          <w:color w:val="000000"/>
        </w:rPr>
        <w:t>Improves accuracy and completeness of financials</w:t>
      </w:r>
    </w:p>
    <w:p w14:paraId="3F4E9848" w14:textId="77777777" w:rsidR="00EC3557" w:rsidRDefault="00EC3557" w:rsidP="00EC3557">
      <w:pPr>
        <w:pStyle w:val="NormalWeb"/>
        <w:numPr>
          <w:ilvl w:val="0"/>
          <w:numId w:val="15"/>
        </w:numPr>
        <w:rPr>
          <w:color w:val="000000"/>
        </w:rPr>
      </w:pPr>
      <w:r>
        <w:rPr>
          <w:color w:val="000000"/>
        </w:rPr>
        <w:t>Detects issues early and reduces downstream disruption</w:t>
      </w:r>
    </w:p>
    <w:p w14:paraId="4534CB70" w14:textId="77777777" w:rsidR="00EC3557" w:rsidRDefault="00EC3557" w:rsidP="00EC3557">
      <w:pPr>
        <w:pStyle w:val="NormalWeb"/>
        <w:numPr>
          <w:ilvl w:val="0"/>
          <w:numId w:val="15"/>
        </w:numPr>
        <w:rPr>
          <w:color w:val="000000"/>
        </w:rPr>
      </w:pPr>
      <w:r>
        <w:rPr>
          <w:color w:val="000000"/>
        </w:rPr>
        <w:t>Strengthens audit defensibility through a clear trail</w:t>
      </w:r>
    </w:p>
    <w:p w14:paraId="156D53E4" w14:textId="77777777" w:rsidR="00EC3557" w:rsidRDefault="00EC3557" w:rsidP="00EC3557">
      <w:pPr>
        <w:pStyle w:val="NormalWeb"/>
        <w:rPr>
          <w:color w:val="000000"/>
        </w:rPr>
      </w:pPr>
      <w:r>
        <w:rPr>
          <w:rStyle w:val="Strong"/>
          <w:rFonts w:eastAsiaTheme="majorEastAsia"/>
          <w:color w:val="000000"/>
        </w:rPr>
        <w:t>Optional Framework Reference</w:t>
      </w:r>
    </w:p>
    <w:p w14:paraId="1E382141" w14:textId="77777777" w:rsidR="00EC3557" w:rsidRDefault="00EC3557" w:rsidP="00EC3557">
      <w:pPr>
        <w:pStyle w:val="NormalWeb"/>
        <w:numPr>
          <w:ilvl w:val="0"/>
          <w:numId w:val="16"/>
        </w:numPr>
        <w:rPr>
          <w:color w:val="000000"/>
        </w:rPr>
      </w:pPr>
      <w:r>
        <w:rPr>
          <w:color w:val="000000"/>
        </w:rPr>
        <w:t>COSO-aligned control discipline to reinforce reliable close and reconciliation practices</w:t>
      </w:r>
    </w:p>
    <w:p w14:paraId="6A6082C4" w14:textId="77777777" w:rsidR="00EC3557" w:rsidRDefault="000C6B72" w:rsidP="00EC3557">
      <w:r>
        <w:rPr>
          <w:noProof/>
        </w:rPr>
        <w:pict w14:anchorId="7088415C">
          <v:rect id="_x0000_i1027" alt="" style="width:431.95pt;height:.05pt;mso-width-percent:0;mso-height-percent:0;mso-width-percent:0;mso-height-percent:0" o:hrpct="923" o:hralign="center" o:hrstd="t" o:hr="t" fillcolor="#a0a0a0" stroked="f"/>
        </w:pict>
      </w:r>
    </w:p>
    <w:p w14:paraId="13859656" w14:textId="77777777" w:rsidR="00EC3557" w:rsidRDefault="00EC3557" w:rsidP="00EC3557">
      <w:pPr>
        <w:pStyle w:val="Heading4"/>
        <w:rPr>
          <w:color w:val="000000"/>
        </w:rPr>
      </w:pPr>
      <w:r>
        <w:rPr>
          <w:color w:val="000000"/>
        </w:rPr>
        <w:t>Card 4: Industry-Driven Performance Reporting</w:t>
      </w:r>
    </w:p>
    <w:p w14:paraId="06E521C2" w14:textId="77777777" w:rsidR="00EC3557" w:rsidRDefault="00EC3557" w:rsidP="00EC3557">
      <w:pPr>
        <w:pStyle w:val="NormalWeb"/>
        <w:rPr>
          <w:color w:val="000000"/>
        </w:rPr>
      </w:pPr>
      <w:r>
        <w:rPr>
          <w:color w:val="000000"/>
        </w:rPr>
        <w:t>This step converts accounting outputs into project and portfolio signals—highlighting where performance is shifting before it becomes a cash or margin problem. It also builds consistency in how job results are interpreted so decisions are based on comparable metrics, not varying reporting views.</w:t>
      </w:r>
      <w:r>
        <w:rPr>
          <w:color w:val="000000"/>
        </w:rPr>
        <w:br/>
      </w:r>
      <w:r>
        <w:rPr>
          <w:rStyle w:val="Strong"/>
          <w:rFonts w:eastAsiaTheme="majorEastAsia"/>
          <w:color w:val="000000"/>
        </w:rPr>
        <w:t>Purpose</w:t>
      </w:r>
    </w:p>
    <w:p w14:paraId="1F4CD204" w14:textId="77777777" w:rsidR="00EC3557" w:rsidRDefault="00EC3557" w:rsidP="00EC3557">
      <w:pPr>
        <w:pStyle w:val="NormalWeb"/>
        <w:numPr>
          <w:ilvl w:val="0"/>
          <w:numId w:val="17"/>
        </w:numPr>
        <w:rPr>
          <w:color w:val="000000"/>
        </w:rPr>
      </w:pPr>
      <w:r>
        <w:rPr>
          <w:color w:val="000000"/>
        </w:rPr>
        <w:t>Deliver reporting that highlights profitability drivers and risk areas</w:t>
      </w:r>
    </w:p>
    <w:p w14:paraId="6121A251" w14:textId="77777777" w:rsidR="00EC3557" w:rsidRDefault="00EC3557" w:rsidP="00EC3557">
      <w:pPr>
        <w:pStyle w:val="NormalWeb"/>
        <w:numPr>
          <w:ilvl w:val="0"/>
          <w:numId w:val="17"/>
        </w:numPr>
        <w:rPr>
          <w:color w:val="000000"/>
        </w:rPr>
      </w:pPr>
      <w:r>
        <w:rPr>
          <w:color w:val="000000"/>
        </w:rPr>
        <w:lastRenderedPageBreak/>
        <w:t>Provide visibility into cash flow timing, margins, and key variances</w:t>
      </w:r>
    </w:p>
    <w:p w14:paraId="625CE679" w14:textId="77777777" w:rsidR="00EC3557" w:rsidRDefault="00EC3557" w:rsidP="00EC3557">
      <w:pPr>
        <w:pStyle w:val="NormalWeb"/>
        <w:numPr>
          <w:ilvl w:val="0"/>
          <w:numId w:val="17"/>
        </w:numPr>
        <w:rPr>
          <w:color w:val="000000"/>
        </w:rPr>
      </w:pPr>
      <w:r>
        <w:rPr>
          <w:color w:val="000000"/>
        </w:rPr>
        <w:t>Support decision-ready insights with consistent reporting cadence</w:t>
      </w:r>
    </w:p>
    <w:p w14:paraId="2102A320" w14:textId="77777777" w:rsidR="00EC3557" w:rsidRDefault="00EC3557" w:rsidP="00EC3557">
      <w:pPr>
        <w:pStyle w:val="NormalWeb"/>
        <w:rPr>
          <w:color w:val="000000"/>
        </w:rPr>
      </w:pPr>
      <w:r>
        <w:rPr>
          <w:rStyle w:val="Strong"/>
          <w:rFonts w:eastAsiaTheme="majorEastAsia"/>
          <w:color w:val="000000"/>
        </w:rPr>
        <w:t>Why It Matters</w:t>
      </w:r>
    </w:p>
    <w:p w14:paraId="7D38BD11" w14:textId="77777777" w:rsidR="00EC3557" w:rsidRDefault="00EC3557" w:rsidP="00EC3557">
      <w:pPr>
        <w:pStyle w:val="NormalWeb"/>
        <w:numPr>
          <w:ilvl w:val="0"/>
          <w:numId w:val="18"/>
        </w:numPr>
        <w:rPr>
          <w:color w:val="000000"/>
        </w:rPr>
      </w:pPr>
      <w:r>
        <w:rPr>
          <w:color w:val="000000"/>
        </w:rPr>
        <w:t>Improves decision confidence with timely, relevant visibility</w:t>
      </w:r>
    </w:p>
    <w:p w14:paraId="04BA2918" w14:textId="77777777" w:rsidR="00EC3557" w:rsidRDefault="00EC3557" w:rsidP="00EC3557">
      <w:pPr>
        <w:pStyle w:val="NormalWeb"/>
        <w:numPr>
          <w:ilvl w:val="0"/>
          <w:numId w:val="18"/>
        </w:numPr>
        <w:rPr>
          <w:color w:val="000000"/>
        </w:rPr>
      </w:pPr>
      <w:r>
        <w:rPr>
          <w:color w:val="000000"/>
        </w:rPr>
        <w:t>Supports margin control and operational accountability</w:t>
      </w:r>
    </w:p>
    <w:p w14:paraId="74C73131" w14:textId="77777777" w:rsidR="00EC3557" w:rsidRDefault="00EC3557" w:rsidP="00EC3557">
      <w:pPr>
        <w:pStyle w:val="NormalWeb"/>
        <w:numPr>
          <w:ilvl w:val="0"/>
          <w:numId w:val="18"/>
        </w:numPr>
        <w:rPr>
          <w:color w:val="000000"/>
        </w:rPr>
      </w:pPr>
      <w:r>
        <w:rPr>
          <w:color w:val="000000"/>
        </w:rPr>
        <w:t>Builds trust in financial data for internal and external use</w:t>
      </w:r>
    </w:p>
    <w:p w14:paraId="18B71CD7" w14:textId="77777777" w:rsidR="00EC3557" w:rsidRDefault="000C6B72" w:rsidP="00EC3557">
      <w:r>
        <w:rPr>
          <w:noProof/>
        </w:rPr>
        <w:pict w14:anchorId="6B36A3A8">
          <v:rect id="_x0000_i1026" alt="" style="width:431.95pt;height:.05pt;mso-width-percent:0;mso-height-percent:0;mso-width-percent:0;mso-height-percent:0" o:hrpct="923" o:hralign="center" o:hrstd="t" o:hr="t" fillcolor="#a0a0a0" stroked="f"/>
        </w:pict>
      </w:r>
    </w:p>
    <w:p w14:paraId="43DA1722" w14:textId="77777777" w:rsidR="00EC3557" w:rsidRDefault="00EC3557" w:rsidP="00EC3557">
      <w:pPr>
        <w:pStyle w:val="Heading4"/>
        <w:rPr>
          <w:color w:val="000000"/>
        </w:rPr>
      </w:pPr>
      <w:r>
        <w:rPr>
          <w:color w:val="000000"/>
        </w:rPr>
        <w:t>Card 5: Tax &amp; Compliance Alignment</w:t>
      </w:r>
    </w:p>
    <w:p w14:paraId="20B64194" w14:textId="77777777" w:rsidR="00EC3557" w:rsidRDefault="00EC3557" w:rsidP="00EC3557">
      <w:pPr>
        <w:pStyle w:val="NormalWeb"/>
        <w:rPr>
          <w:color w:val="000000"/>
        </w:rPr>
      </w:pPr>
      <w:r>
        <w:rPr>
          <w:color w:val="000000"/>
        </w:rPr>
        <w:t>This step ensures project reporting ties cleanly into filing requirements and documentation standards, reducing friction when questions arise from tax authorities or third parties. It also strengthens consistency between operational reporting and compliance reporting so positions remain supportable over time.</w:t>
      </w:r>
      <w:r>
        <w:rPr>
          <w:color w:val="000000"/>
        </w:rPr>
        <w:br/>
      </w:r>
      <w:r>
        <w:rPr>
          <w:rStyle w:val="Strong"/>
          <w:rFonts w:eastAsiaTheme="majorEastAsia"/>
          <w:color w:val="000000"/>
        </w:rPr>
        <w:t>Purpose</w:t>
      </w:r>
    </w:p>
    <w:p w14:paraId="0AFE9686" w14:textId="77777777" w:rsidR="00EC3557" w:rsidRDefault="00EC3557" w:rsidP="00EC3557">
      <w:pPr>
        <w:pStyle w:val="NormalWeb"/>
        <w:numPr>
          <w:ilvl w:val="0"/>
          <w:numId w:val="19"/>
        </w:numPr>
        <w:rPr>
          <w:color w:val="000000"/>
        </w:rPr>
      </w:pPr>
      <w:r>
        <w:rPr>
          <w:color w:val="000000"/>
        </w:rPr>
        <w:t>Align reporting outputs to compliance and filing requirements</w:t>
      </w:r>
    </w:p>
    <w:p w14:paraId="63E1384B" w14:textId="77777777" w:rsidR="00EC3557" w:rsidRDefault="00EC3557" w:rsidP="00EC3557">
      <w:pPr>
        <w:pStyle w:val="NormalWeb"/>
        <w:numPr>
          <w:ilvl w:val="0"/>
          <w:numId w:val="19"/>
        </w:numPr>
        <w:rPr>
          <w:color w:val="000000"/>
        </w:rPr>
      </w:pPr>
      <w:r>
        <w:rPr>
          <w:color w:val="000000"/>
        </w:rPr>
        <w:t>Identify exposure areas and documentation needs to support defensibility</w:t>
      </w:r>
    </w:p>
    <w:p w14:paraId="52397621" w14:textId="77777777" w:rsidR="00EC3557" w:rsidRDefault="00EC3557" w:rsidP="00EC3557">
      <w:pPr>
        <w:pStyle w:val="NormalWeb"/>
        <w:numPr>
          <w:ilvl w:val="0"/>
          <w:numId w:val="19"/>
        </w:numPr>
        <w:rPr>
          <w:color w:val="000000"/>
        </w:rPr>
      </w:pPr>
      <w:r>
        <w:rPr>
          <w:color w:val="000000"/>
        </w:rPr>
        <w:t>Coordinate planning considerations that improve predictability</w:t>
      </w:r>
    </w:p>
    <w:p w14:paraId="0175A483" w14:textId="77777777" w:rsidR="00EC3557" w:rsidRDefault="00EC3557" w:rsidP="00EC3557">
      <w:pPr>
        <w:pStyle w:val="NormalWeb"/>
        <w:rPr>
          <w:color w:val="000000"/>
        </w:rPr>
      </w:pPr>
      <w:r>
        <w:rPr>
          <w:rStyle w:val="Strong"/>
          <w:rFonts w:eastAsiaTheme="majorEastAsia"/>
          <w:color w:val="000000"/>
        </w:rPr>
        <w:t>Why It Matters</w:t>
      </w:r>
    </w:p>
    <w:p w14:paraId="1934E4DF" w14:textId="77777777" w:rsidR="00EC3557" w:rsidRDefault="00EC3557" w:rsidP="00EC3557">
      <w:pPr>
        <w:pStyle w:val="NormalWeb"/>
        <w:numPr>
          <w:ilvl w:val="0"/>
          <w:numId w:val="20"/>
        </w:numPr>
        <w:rPr>
          <w:color w:val="000000"/>
        </w:rPr>
      </w:pPr>
      <w:r>
        <w:rPr>
          <w:color w:val="000000"/>
        </w:rPr>
        <w:t>Reduces compliance risk and avoidable penalties</w:t>
      </w:r>
    </w:p>
    <w:p w14:paraId="1D3D0A18" w14:textId="77777777" w:rsidR="00EC3557" w:rsidRDefault="00EC3557" w:rsidP="00EC3557">
      <w:pPr>
        <w:pStyle w:val="NormalWeb"/>
        <w:numPr>
          <w:ilvl w:val="0"/>
          <w:numId w:val="20"/>
        </w:numPr>
        <w:rPr>
          <w:color w:val="000000"/>
        </w:rPr>
      </w:pPr>
      <w:r>
        <w:rPr>
          <w:color w:val="000000"/>
        </w:rPr>
        <w:t>Improves audit readiness through organized support</w:t>
      </w:r>
    </w:p>
    <w:p w14:paraId="49B8F9D8" w14:textId="77777777" w:rsidR="00EC3557" w:rsidRDefault="00EC3557" w:rsidP="00EC3557">
      <w:pPr>
        <w:pStyle w:val="NormalWeb"/>
        <w:numPr>
          <w:ilvl w:val="0"/>
          <w:numId w:val="20"/>
        </w:numPr>
        <w:rPr>
          <w:color w:val="000000"/>
        </w:rPr>
      </w:pPr>
      <w:r>
        <w:rPr>
          <w:color w:val="000000"/>
        </w:rPr>
        <w:t>Prevents last-minute surprises tied to incomplete records</w:t>
      </w:r>
    </w:p>
    <w:p w14:paraId="5855C1B9" w14:textId="77777777" w:rsidR="00EC3557" w:rsidRDefault="000C6B72" w:rsidP="00EC3557">
      <w:r>
        <w:rPr>
          <w:noProof/>
        </w:rPr>
        <w:pict w14:anchorId="3435C1AE">
          <v:rect id="_x0000_i1025" alt="" style="width:431.95pt;height:.05pt;mso-width-percent:0;mso-height-percent:0;mso-width-percent:0;mso-height-percent:0" o:hrpct="923" o:hralign="center" o:hrstd="t" o:hr="t" fillcolor="#a0a0a0" stroked="f"/>
        </w:pict>
      </w:r>
    </w:p>
    <w:p w14:paraId="6CF5CE2A" w14:textId="77777777" w:rsidR="00EC3557" w:rsidRDefault="00EC3557" w:rsidP="00EC3557">
      <w:pPr>
        <w:pStyle w:val="Heading4"/>
        <w:rPr>
          <w:color w:val="000000"/>
        </w:rPr>
      </w:pPr>
      <w:r>
        <w:rPr>
          <w:color w:val="000000"/>
        </w:rPr>
        <w:t>Card 6: Ongoing Monitoring &amp; Advisory Support</w:t>
      </w:r>
    </w:p>
    <w:p w14:paraId="2CF31A0B" w14:textId="77777777" w:rsidR="00EC3557" w:rsidRDefault="00EC3557" w:rsidP="00EC3557">
      <w:pPr>
        <w:pStyle w:val="NormalWeb"/>
        <w:rPr>
          <w:color w:val="000000"/>
        </w:rPr>
      </w:pPr>
      <w:r>
        <w:rPr>
          <w:color w:val="000000"/>
        </w:rPr>
        <w:t>This step keeps financial governance aligned as project mix, contract terms, and operating practices evolve—so reporting stays reliable as complexity increases. It also provides a structured mechanism to address recurring issues through refinement rather than repeated correction cycles.</w:t>
      </w:r>
      <w:r>
        <w:rPr>
          <w:color w:val="000000"/>
        </w:rPr>
        <w:br/>
      </w:r>
      <w:r>
        <w:rPr>
          <w:rStyle w:val="Strong"/>
          <w:rFonts w:eastAsiaTheme="majorEastAsia"/>
          <w:color w:val="000000"/>
        </w:rPr>
        <w:t>Purpose</w:t>
      </w:r>
    </w:p>
    <w:p w14:paraId="053AEA59" w14:textId="77777777" w:rsidR="00EC3557" w:rsidRDefault="00EC3557" w:rsidP="00EC3557">
      <w:pPr>
        <w:pStyle w:val="NormalWeb"/>
        <w:numPr>
          <w:ilvl w:val="0"/>
          <w:numId w:val="21"/>
        </w:numPr>
        <w:rPr>
          <w:color w:val="000000"/>
        </w:rPr>
      </w:pPr>
      <w:r>
        <w:rPr>
          <w:color w:val="000000"/>
        </w:rPr>
        <w:t>Monitor changes in operations that impact reporting and compliance</w:t>
      </w:r>
    </w:p>
    <w:p w14:paraId="403CFD59" w14:textId="77777777" w:rsidR="00EC3557" w:rsidRDefault="00EC3557" w:rsidP="00EC3557">
      <w:pPr>
        <w:pStyle w:val="NormalWeb"/>
        <w:numPr>
          <w:ilvl w:val="0"/>
          <w:numId w:val="21"/>
        </w:numPr>
        <w:rPr>
          <w:color w:val="000000"/>
        </w:rPr>
      </w:pPr>
      <w:r>
        <w:rPr>
          <w:color w:val="000000"/>
        </w:rPr>
        <w:t>Recommend adjustments to improve controls and efficiency</w:t>
      </w:r>
    </w:p>
    <w:p w14:paraId="7ED00ED4" w14:textId="77777777" w:rsidR="00EC3557" w:rsidRDefault="00EC3557" w:rsidP="00EC3557">
      <w:pPr>
        <w:pStyle w:val="NormalWeb"/>
        <w:numPr>
          <w:ilvl w:val="0"/>
          <w:numId w:val="21"/>
        </w:numPr>
        <w:rPr>
          <w:color w:val="000000"/>
        </w:rPr>
      </w:pPr>
      <w:r>
        <w:rPr>
          <w:color w:val="000000"/>
        </w:rPr>
        <w:t>Support growth, financing, and stakeholder readiness as needed</w:t>
      </w:r>
    </w:p>
    <w:p w14:paraId="0ED5D082" w14:textId="77777777" w:rsidR="00EC3557" w:rsidRDefault="00EC3557" w:rsidP="00EC3557">
      <w:pPr>
        <w:pStyle w:val="NormalWeb"/>
        <w:rPr>
          <w:color w:val="000000"/>
        </w:rPr>
      </w:pPr>
      <w:r>
        <w:rPr>
          <w:rStyle w:val="Strong"/>
          <w:rFonts w:eastAsiaTheme="majorEastAsia"/>
          <w:color w:val="000000"/>
        </w:rPr>
        <w:t>Why It Matters</w:t>
      </w:r>
    </w:p>
    <w:p w14:paraId="3BACB783" w14:textId="77777777" w:rsidR="00EC3557" w:rsidRDefault="00EC3557" w:rsidP="00EC3557">
      <w:pPr>
        <w:pStyle w:val="NormalWeb"/>
        <w:numPr>
          <w:ilvl w:val="0"/>
          <w:numId w:val="22"/>
        </w:numPr>
        <w:rPr>
          <w:color w:val="000000"/>
        </w:rPr>
      </w:pPr>
      <w:r>
        <w:rPr>
          <w:color w:val="000000"/>
        </w:rPr>
        <w:t>Keeps financial discipline aligned as complexity increases</w:t>
      </w:r>
    </w:p>
    <w:p w14:paraId="6C08DD7A" w14:textId="77777777" w:rsidR="00EC3557" w:rsidRDefault="00EC3557" w:rsidP="00EC3557">
      <w:pPr>
        <w:pStyle w:val="NormalWeb"/>
        <w:numPr>
          <w:ilvl w:val="0"/>
          <w:numId w:val="22"/>
        </w:numPr>
        <w:rPr>
          <w:color w:val="000000"/>
        </w:rPr>
      </w:pPr>
      <w:r>
        <w:rPr>
          <w:color w:val="000000"/>
        </w:rPr>
        <w:lastRenderedPageBreak/>
        <w:t>Improves scalability without sacrificing control</w:t>
      </w:r>
    </w:p>
    <w:p w14:paraId="2B2576B3" w14:textId="77777777" w:rsidR="00EC3557" w:rsidRDefault="00EC3557" w:rsidP="00EC3557">
      <w:pPr>
        <w:pStyle w:val="NormalWeb"/>
        <w:numPr>
          <w:ilvl w:val="0"/>
          <w:numId w:val="22"/>
        </w:numPr>
        <w:rPr>
          <w:color w:val="000000"/>
        </w:rPr>
      </w:pPr>
      <w:r>
        <w:rPr>
          <w:color w:val="000000"/>
        </w:rPr>
        <w:t>Strengthens long-term reliability and credibility</w:t>
      </w:r>
    </w:p>
    <w:p w14:paraId="32A826B7" w14:textId="10DB21E1" w:rsidR="00701444" w:rsidRPr="00EC3557" w:rsidRDefault="00701444" w:rsidP="00EC3557"/>
    <w:sectPr w:rsidR="00701444" w:rsidRPr="00EC35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D279E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B5C3F"/>
    <w:multiLevelType w:val="multilevel"/>
    <w:tmpl w:val="3FF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F1ABC"/>
    <w:multiLevelType w:val="multilevel"/>
    <w:tmpl w:val="BE02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474C2"/>
    <w:multiLevelType w:val="multilevel"/>
    <w:tmpl w:val="1AC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725B6"/>
    <w:multiLevelType w:val="multilevel"/>
    <w:tmpl w:val="CBA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50665"/>
    <w:multiLevelType w:val="multilevel"/>
    <w:tmpl w:val="143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66B40"/>
    <w:multiLevelType w:val="multilevel"/>
    <w:tmpl w:val="9AF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34F81"/>
    <w:multiLevelType w:val="multilevel"/>
    <w:tmpl w:val="7FB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F6605"/>
    <w:multiLevelType w:val="multilevel"/>
    <w:tmpl w:val="118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92644"/>
    <w:multiLevelType w:val="multilevel"/>
    <w:tmpl w:val="6E7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43E9B"/>
    <w:multiLevelType w:val="multilevel"/>
    <w:tmpl w:val="F57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B0CE2"/>
    <w:multiLevelType w:val="multilevel"/>
    <w:tmpl w:val="C7F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A2E74"/>
    <w:multiLevelType w:val="multilevel"/>
    <w:tmpl w:val="B16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3347D"/>
    <w:multiLevelType w:val="multilevel"/>
    <w:tmpl w:val="DA8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545453">
    <w:abstractNumId w:val="8"/>
  </w:num>
  <w:num w:numId="2" w16cid:durableId="384450258">
    <w:abstractNumId w:val="6"/>
  </w:num>
  <w:num w:numId="3" w16cid:durableId="2125496146">
    <w:abstractNumId w:val="5"/>
  </w:num>
  <w:num w:numId="4" w16cid:durableId="1887132905">
    <w:abstractNumId w:val="4"/>
  </w:num>
  <w:num w:numId="5" w16cid:durableId="686710278">
    <w:abstractNumId w:val="7"/>
  </w:num>
  <w:num w:numId="6" w16cid:durableId="567770996">
    <w:abstractNumId w:val="3"/>
  </w:num>
  <w:num w:numId="7" w16cid:durableId="1206867633">
    <w:abstractNumId w:val="2"/>
  </w:num>
  <w:num w:numId="8" w16cid:durableId="30426497">
    <w:abstractNumId w:val="1"/>
  </w:num>
  <w:num w:numId="9" w16cid:durableId="1137139740">
    <w:abstractNumId w:val="0"/>
  </w:num>
  <w:num w:numId="10" w16cid:durableId="301011204">
    <w:abstractNumId w:val="14"/>
  </w:num>
  <w:num w:numId="11" w16cid:durableId="718632783">
    <w:abstractNumId w:val="9"/>
  </w:num>
  <w:num w:numId="12" w16cid:durableId="618338099">
    <w:abstractNumId w:val="16"/>
  </w:num>
  <w:num w:numId="13" w16cid:durableId="502934693">
    <w:abstractNumId w:val="11"/>
  </w:num>
  <w:num w:numId="14" w16cid:durableId="1015308848">
    <w:abstractNumId w:val="18"/>
  </w:num>
  <w:num w:numId="15" w16cid:durableId="790131549">
    <w:abstractNumId w:val="10"/>
  </w:num>
  <w:num w:numId="16" w16cid:durableId="2061200320">
    <w:abstractNumId w:val="21"/>
  </w:num>
  <w:num w:numId="17" w16cid:durableId="379288379">
    <w:abstractNumId w:val="20"/>
  </w:num>
  <w:num w:numId="18" w16cid:durableId="1975212596">
    <w:abstractNumId w:val="17"/>
  </w:num>
  <w:num w:numId="19" w16cid:durableId="1703239004">
    <w:abstractNumId w:val="12"/>
  </w:num>
  <w:num w:numId="20" w16cid:durableId="1277635708">
    <w:abstractNumId w:val="19"/>
  </w:num>
  <w:num w:numId="21" w16cid:durableId="400324955">
    <w:abstractNumId w:val="13"/>
  </w:num>
  <w:num w:numId="22" w16cid:durableId="9574453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B72"/>
    <w:rsid w:val="0015074B"/>
    <w:rsid w:val="0029639D"/>
    <w:rsid w:val="00326F90"/>
    <w:rsid w:val="00701444"/>
    <w:rsid w:val="00AA1D8D"/>
    <w:rsid w:val="00B47730"/>
    <w:rsid w:val="00CB0664"/>
    <w:rsid w:val="00CD6F65"/>
    <w:rsid w:val="00EC35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C96BB"/>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35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C3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654</Words>
  <Characters>4717</Characters>
  <Application>Microsoft Office Word</Application>
  <DocSecurity>0</DocSecurity>
  <Lines>102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2026-02-01T17:13:00Z</dcterms:modified>
  <cp:category/>
</cp:coreProperties>
</file>