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A503" w14:textId="77777777" w:rsidR="007A6193" w:rsidRDefault="007A6193" w:rsidP="007A6193">
      <w:pPr>
        <w:pStyle w:val="Heading2"/>
        <w:rPr>
          <w:color w:val="000000"/>
        </w:rPr>
      </w:pPr>
      <w:r>
        <w:rPr>
          <w:color w:val="000000"/>
        </w:rPr>
        <w:t>Business Tax Strategies – Quantum’s Structure-First, Forward-Looking Approach</w:t>
      </w:r>
    </w:p>
    <w:p w14:paraId="52221804" w14:textId="77777777" w:rsidR="007A6193" w:rsidRDefault="007A6193" w:rsidP="007A6193">
      <w:pPr>
        <w:pStyle w:val="NormalWeb"/>
        <w:rPr>
          <w:color w:val="000000"/>
        </w:rPr>
      </w:pPr>
      <w:r>
        <w:rPr>
          <w:color w:val="000000"/>
        </w:rPr>
        <w:t>Business Tax Strategies provide structured advisory support to design tax outcomes through intentional operating and ownership decisions. Businesses often overpay due to inefficient entity structure, compensation design, or multi-jurisdiction exposure that cannot be corrected at filing time. Quantum’s approach is governance-first and control-driven, grounded in Clarity, Consistency, Compliance, Communication, Control, and Comprehensiveness, and focused on clear tradeoffs and defensible documentation. The outcome is a strategy that supports scalable growth, predictable compliance, and better control over long-term tax exposure.</w:t>
      </w:r>
    </w:p>
    <w:p w14:paraId="01002693" w14:textId="77777777" w:rsidR="007A6193" w:rsidRDefault="00D13AC9" w:rsidP="007A6193">
      <w:r>
        <w:rPr>
          <w:noProof/>
        </w:rPr>
        <w:pict w14:anchorId="1E2B5B53">
          <v:rect id="_x0000_i1031" alt="" style="width:431.95pt;height:.05pt;mso-width-percent:0;mso-height-percent:0;mso-width-percent:0;mso-height-percent:0" o:hrpct="923" o:hralign="center" o:hrstd="t" o:hr="t" fillcolor="#a0a0a0" stroked="f"/>
        </w:pict>
      </w:r>
    </w:p>
    <w:p w14:paraId="7DD49610" w14:textId="77777777" w:rsidR="007A6193" w:rsidRDefault="007A6193" w:rsidP="007A6193">
      <w:pPr>
        <w:pStyle w:val="Heading3"/>
        <w:rPr>
          <w:color w:val="000000"/>
        </w:rPr>
      </w:pPr>
      <w:r>
        <w:rPr>
          <w:color w:val="000000"/>
        </w:rPr>
        <w:t>Strategic Business &amp; Tax Discovery</w:t>
      </w:r>
    </w:p>
    <w:p w14:paraId="5F8DDAA6" w14:textId="77777777" w:rsidR="007A6193" w:rsidRDefault="007A6193" w:rsidP="007A6193">
      <w:pPr>
        <w:pStyle w:val="NormalWeb"/>
        <w:rPr>
          <w:color w:val="000000"/>
        </w:rPr>
      </w:pPr>
      <w:r>
        <w:rPr>
          <w:color w:val="000000"/>
        </w:rPr>
        <w:t>This stage establishes a complete understanding of how the business actually earns income, makes decisions, and plans for growth. Discussions go beyond tax forms to focus on operating reality, ownership intent, and future direction so tax planning is anchored in facts rather than assumptions.</w:t>
      </w:r>
    </w:p>
    <w:p w14:paraId="6009FAD4" w14:textId="77777777" w:rsidR="007A6193" w:rsidRDefault="007A6193" w:rsidP="007A6193">
      <w:pPr>
        <w:pStyle w:val="NormalWeb"/>
        <w:rPr>
          <w:color w:val="000000"/>
        </w:rPr>
      </w:pPr>
      <w:r>
        <w:rPr>
          <w:rStyle w:val="Strong"/>
          <w:color w:val="000000"/>
        </w:rPr>
        <w:t>Purpose</w:t>
      </w:r>
      <w:r>
        <w:rPr>
          <w:color w:val="000000"/>
        </w:rPr>
        <w:br/>
        <w:t>• Understand the business model, ownership, revenue drivers, and growth objectives</w:t>
      </w:r>
      <w:r>
        <w:rPr>
          <w:color w:val="000000"/>
        </w:rPr>
        <w:br/>
        <w:t>• Identify current inefficiencies and structural limitations impacting tax outcomes</w:t>
      </w:r>
      <w:r>
        <w:rPr>
          <w:color w:val="000000"/>
        </w:rPr>
        <w:br/>
        <w:t>• Define planning priorities and decision constraints</w:t>
      </w:r>
    </w:p>
    <w:p w14:paraId="79E87FC3" w14:textId="77777777" w:rsidR="007A6193" w:rsidRDefault="007A6193" w:rsidP="007A6193">
      <w:pPr>
        <w:pStyle w:val="NormalWeb"/>
        <w:rPr>
          <w:color w:val="000000"/>
        </w:rPr>
      </w:pPr>
      <w:r>
        <w:rPr>
          <w:rStyle w:val="Strong"/>
          <w:color w:val="000000"/>
        </w:rPr>
        <w:t>Why It Matters</w:t>
      </w:r>
      <w:r>
        <w:rPr>
          <w:color w:val="000000"/>
        </w:rPr>
        <w:br/>
        <w:t>• Ensures tax strategy aligns with operating reality</w:t>
      </w:r>
      <w:r>
        <w:rPr>
          <w:color w:val="000000"/>
        </w:rPr>
        <w:br/>
        <w:t>• Establishes a foundation for meaningful optimization</w:t>
      </w:r>
      <w:r>
        <w:rPr>
          <w:color w:val="000000"/>
        </w:rPr>
        <w:br/>
        <w:t>• Improves decision confidence before commitments are made</w:t>
      </w:r>
    </w:p>
    <w:p w14:paraId="677A597E" w14:textId="77777777" w:rsidR="007A6193" w:rsidRDefault="007A6193" w:rsidP="007A6193">
      <w:r>
        <w:pict w14:anchorId="1A30AA3E">
          <v:rect id="_x0000_i1026" style="width:0;height:1.5pt" o:hralign="center" o:hrstd="t" o:hr="t" fillcolor="#a0a0a0" stroked="f"/>
        </w:pict>
      </w:r>
    </w:p>
    <w:p w14:paraId="5BC82823" w14:textId="77777777" w:rsidR="007A6193" w:rsidRDefault="007A6193" w:rsidP="007A6193">
      <w:pPr>
        <w:pStyle w:val="Heading3"/>
        <w:rPr>
          <w:color w:val="000000"/>
        </w:rPr>
      </w:pPr>
      <w:r>
        <w:rPr>
          <w:color w:val="000000"/>
        </w:rPr>
        <w:t>Current-State Tax &amp; Structural Assessment</w:t>
      </w:r>
    </w:p>
    <w:p w14:paraId="28B8C01A" w14:textId="77777777" w:rsidR="007A6193" w:rsidRDefault="007A6193" w:rsidP="007A6193">
      <w:pPr>
        <w:pStyle w:val="NormalWeb"/>
        <w:rPr>
          <w:color w:val="000000"/>
        </w:rPr>
      </w:pPr>
      <w:r>
        <w:rPr>
          <w:color w:val="000000"/>
        </w:rPr>
        <w:t>This stage evaluates how the existing structure performs today under tax, payroll, and accounting rules. Quantum analyzes how current decisions interact across systems and filings to surface hidden exposure and inefficiencies that are not visible from a return alone.</w:t>
      </w:r>
    </w:p>
    <w:p w14:paraId="52AE62D0" w14:textId="77777777" w:rsidR="007A6193" w:rsidRDefault="007A6193" w:rsidP="007A6193">
      <w:pPr>
        <w:pStyle w:val="NormalWeb"/>
        <w:rPr>
          <w:color w:val="000000"/>
        </w:rPr>
      </w:pPr>
      <w:r>
        <w:rPr>
          <w:rStyle w:val="Strong"/>
          <w:color w:val="000000"/>
        </w:rPr>
        <w:t>Purpose</w:t>
      </w:r>
      <w:r>
        <w:rPr>
          <w:color w:val="000000"/>
        </w:rPr>
        <w:br/>
        <w:t>• Evaluate entity classification, owner compensation structure, and jurisdictional exposure</w:t>
      </w:r>
      <w:r>
        <w:rPr>
          <w:color w:val="000000"/>
        </w:rPr>
        <w:br/>
        <w:t>• Assess interactions between accounting, payroll, and tax positions</w:t>
      </w:r>
      <w:r>
        <w:rPr>
          <w:color w:val="000000"/>
        </w:rPr>
        <w:br/>
        <w:t>• Identify compliance and documentation gaps</w:t>
      </w:r>
    </w:p>
    <w:p w14:paraId="07119657" w14:textId="77777777" w:rsidR="007A6193" w:rsidRDefault="007A6193" w:rsidP="007A6193">
      <w:pPr>
        <w:pStyle w:val="NormalWeb"/>
        <w:rPr>
          <w:color w:val="000000"/>
        </w:rPr>
      </w:pPr>
      <w:r>
        <w:rPr>
          <w:rStyle w:val="Strong"/>
          <w:color w:val="000000"/>
        </w:rPr>
        <w:lastRenderedPageBreak/>
        <w:t>Why It Matters</w:t>
      </w:r>
      <w:r>
        <w:rPr>
          <w:color w:val="000000"/>
        </w:rPr>
        <w:br/>
        <w:t>• Creates a fact-based baseline for redesign decisions</w:t>
      </w:r>
      <w:r>
        <w:rPr>
          <w:color w:val="000000"/>
        </w:rPr>
        <w:br/>
        <w:t>• Reduces risk from inconsistent filings and avoidable exposure</w:t>
      </w:r>
      <w:r>
        <w:rPr>
          <w:color w:val="000000"/>
        </w:rPr>
        <w:br/>
        <w:t>• Improves audit defensibility through clearer support</w:t>
      </w:r>
    </w:p>
    <w:p w14:paraId="48C133BD" w14:textId="77777777" w:rsidR="007A6193" w:rsidRDefault="00D13AC9" w:rsidP="007A6193">
      <w:r>
        <w:rPr>
          <w:noProof/>
        </w:rPr>
        <w:pict w14:anchorId="243266A1">
          <v:rect id="_x0000_i1030" alt="" style="width:431.95pt;height:.05pt;mso-width-percent:0;mso-height-percent:0;mso-width-percent:0;mso-height-percent:0" o:hrpct="923" o:hralign="center" o:hrstd="t" o:hr="t" fillcolor="#a0a0a0" stroked="f"/>
        </w:pict>
      </w:r>
    </w:p>
    <w:p w14:paraId="36EAB2FA" w14:textId="77777777" w:rsidR="007A6193" w:rsidRDefault="007A6193" w:rsidP="007A6193">
      <w:pPr>
        <w:pStyle w:val="Heading3"/>
        <w:rPr>
          <w:color w:val="000000"/>
        </w:rPr>
      </w:pPr>
      <w:r>
        <w:rPr>
          <w:color w:val="000000"/>
        </w:rPr>
        <w:t>Business Tax Strategy Design &amp; Engineering</w:t>
      </w:r>
    </w:p>
    <w:p w14:paraId="64E0E813" w14:textId="77777777" w:rsidR="007A6193" w:rsidRDefault="007A6193" w:rsidP="007A6193">
      <w:pPr>
        <w:pStyle w:val="NormalWeb"/>
        <w:rPr>
          <w:color w:val="000000"/>
        </w:rPr>
      </w:pPr>
      <w:r>
        <w:rPr>
          <w:color w:val="000000"/>
        </w:rPr>
        <w:t>This stage converts findings into intentional design choices, evaluating how different structures change outcomes over time. Strategies are developed within compliance boundaries and engineered to be executable, sustainable, and support long-term objectives rather than short-term savings only.</w:t>
      </w:r>
    </w:p>
    <w:p w14:paraId="23341724" w14:textId="77777777" w:rsidR="007A6193" w:rsidRDefault="007A6193" w:rsidP="007A6193">
      <w:pPr>
        <w:pStyle w:val="NormalWeb"/>
        <w:rPr>
          <w:color w:val="000000"/>
        </w:rPr>
      </w:pPr>
      <w:r>
        <w:rPr>
          <w:rStyle w:val="Strong"/>
          <w:color w:val="000000"/>
        </w:rPr>
        <w:t>Purpose</w:t>
      </w:r>
      <w:r>
        <w:rPr>
          <w:color w:val="000000"/>
        </w:rPr>
        <w:br/>
        <w:t>• Develop compliant strategy options for structure, characterization, and timing</w:t>
      </w:r>
      <w:r>
        <w:rPr>
          <w:color w:val="000000"/>
        </w:rPr>
        <w:br/>
        <w:t>• Model pass-through versus corporate considerations where applicable</w:t>
      </w:r>
      <w:r>
        <w:rPr>
          <w:color w:val="000000"/>
        </w:rPr>
        <w:br/>
        <w:t>• Define control points to sustain the strategy through execution</w:t>
      </w:r>
    </w:p>
    <w:p w14:paraId="20688BAF" w14:textId="77777777" w:rsidR="007A6193" w:rsidRDefault="007A6193" w:rsidP="007A6193">
      <w:pPr>
        <w:pStyle w:val="NormalWeb"/>
        <w:rPr>
          <w:color w:val="000000"/>
        </w:rPr>
      </w:pPr>
      <w:r>
        <w:rPr>
          <w:rStyle w:val="Strong"/>
          <w:color w:val="000000"/>
        </w:rPr>
        <w:t>Why It Matters</w:t>
      </w:r>
      <w:r>
        <w:rPr>
          <w:color w:val="000000"/>
        </w:rPr>
        <w:br/>
        <w:t>• Improves long-term efficiency through intentional design</w:t>
      </w:r>
      <w:r>
        <w:rPr>
          <w:color w:val="000000"/>
        </w:rPr>
        <w:br/>
        <w:t>• Prevents reactive decision-making that drives permanent inefficiencies</w:t>
      </w:r>
      <w:r>
        <w:rPr>
          <w:color w:val="000000"/>
        </w:rPr>
        <w:br/>
        <w:t>• Supports scalable operations with consistent governance</w:t>
      </w:r>
    </w:p>
    <w:p w14:paraId="65C3769D" w14:textId="77777777" w:rsidR="007A6193" w:rsidRDefault="00D13AC9" w:rsidP="007A6193">
      <w:r>
        <w:rPr>
          <w:noProof/>
        </w:rPr>
        <w:pict w14:anchorId="7B8849A8">
          <v:rect id="_x0000_i1029" alt="" style="width:431.95pt;height:.05pt;mso-width-percent:0;mso-height-percent:0;mso-width-percent:0;mso-height-percent:0" o:hrpct="923" o:hralign="center" o:hrstd="t" o:hr="t" fillcolor="#a0a0a0" stroked="f"/>
        </w:pict>
      </w:r>
    </w:p>
    <w:p w14:paraId="16AA4E2A" w14:textId="77777777" w:rsidR="007A6193" w:rsidRDefault="007A6193" w:rsidP="007A6193">
      <w:pPr>
        <w:pStyle w:val="Heading3"/>
        <w:rPr>
          <w:color w:val="000000"/>
        </w:rPr>
      </w:pPr>
      <w:r>
        <w:rPr>
          <w:color w:val="000000"/>
        </w:rPr>
        <w:t>Scenario Modeling &amp; Decision Support</w:t>
      </w:r>
    </w:p>
    <w:p w14:paraId="1E854EAB" w14:textId="77777777" w:rsidR="007A6193" w:rsidRDefault="007A6193" w:rsidP="007A6193">
      <w:pPr>
        <w:pStyle w:val="NormalWeb"/>
        <w:rPr>
          <w:color w:val="000000"/>
        </w:rPr>
      </w:pPr>
      <w:r>
        <w:rPr>
          <w:color w:val="000000"/>
        </w:rPr>
        <w:t>This stage equips leadership with clear comparisons rather than recommendations in isolation. Quantum translates technical outcomes into practical scenarios so decision-makers can evaluate tradeoffs with full visibility into consequences.</w:t>
      </w:r>
    </w:p>
    <w:p w14:paraId="7B27AC71" w14:textId="77777777" w:rsidR="007A6193" w:rsidRDefault="007A6193" w:rsidP="007A6193">
      <w:pPr>
        <w:pStyle w:val="NormalWeb"/>
        <w:rPr>
          <w:color w:val="000000"/>
        </w:rPr>
      </w:pPr>
      <w:r>
        <w:rPr>
          <w:rStyle w:val="Strong"/>
          <w:color w:val="000000"/>
        </w:rPr>
        <w:t>Purpose</w:t>
      </w:r>
      <w:r>
        <w:rPr>
          <w:color w:val="000000"/>
        </w:rPr>
        <w:br/>
        <w:t>• Provide side-by-side comparisons of alternatives with expected impacts</w:t>
      </w:r>
      <w:r>
        <w:rPr>
          <w:color w:val="000000"/>
        </w:rPr>
        <w:br/>
        <w:t>• Translate technical implications into decision-ready tradeoffs</w:t>
      </w:r>
      <w:r>
        <w:rPr>
          <w:color w:val="000000"/>
        </w:rPr>
        <w:br/>
        <w:t>• Document assumptions and rationale supporting the selected path</w:t>
      </w:r>
    </w:p>
    <w:p w14:paraId="3C0F5F57" w14:textId="77777777" w:rsidR="007A6193" w:rsidRDefault="007A6193" w:rsidP="007A6193">
      <w:pPr>
        <w:pStyle w:val="NormalWeb"/>
        <w:rPr>
          <w:color w:val="000000"/>
        </w:rPr>
      </w:pPr>
      <w:r>
        <w:rPr>
          <w:rStyle w:val="Strong"/>
          <w:color w:val="000000"/>
        </w:rPr>
        <w:t>Why It Matters</w:t>
      </w:r>
      <w:r>
        <w:rPr>
          <w:color w:val="000000"/>
        </w:rPr>
        <w:br/>
        <w:t>• Eliminates guesswork and improves decision clarity</w:t>
      </w:r>
      <w:r>
        <w:rPr>
          <w:color w:val="000000"/>
        </w:rPr>
        <w:br/>
        <w:t>• Creates defensible records for stakeholders and auditors</w:t>
      </w:r>
      <w:r>
        <w:rPr>
          <w:color w:val="000000"/>
        </w:rPr>
        <w:br/>
        <w:t>• Reduces surprise outcomes and rework</w:t>
      </w:r>
    </w:p>
    <w:p w14:paraId="34C962D9" w14:textId="77777777" w:rsidR="007A6193" w:rsidRDefault="00D13AC9" w:rsidP="007A6193">
      <w:r>
        <w:rPr>
          <w:noProof/>
        </w:rPr>
        <w:pict w14:anchorId="41840AF5">
          <v:rect id="_x0000_i1028" alt="" style="width:431.95pt;height:.05pt;mso-width-percent:0;mso-height-percent:0;mso-width-percent:0;mso-height-percent:0" o:hrpct="923" o:hralign="center" o:hrstd="t" o:hr="t" fillcolor="#a0a0a0" stroked="f"/>
        </w:pict>
      </w:r>
    </w:p>
    <w:p w14:paraId="2CE1FB4C" w14:textId="77777777" w:rsidR="007A6193" w:rsidRDefault="007A6193" w:rsidP="007A6193">
      <w:pPr>
        <w:pStyle w:val="Heading3"/>
        <w:rPr>
          <w:color w:val="000000"/>
        </w:rPr>
      </w:pPr>
      <w:r>
        <w:rPr>
          <w:color w:val="000000"/>
        </w:rPr>
        <w:lastRenderedPageBreak/>
        <w:t>Implementation Guidance &amp; Coordination</w:t>
      </w:r>
    </w:p>
    <w:p w14:paraId="74724BA0" w14:textId="77777777" w:rsidR="007A6193" w:rsidRDefault="007A6193" w:rsidP="007A6193">
      <w:pPr>
        <w:pStyle w:val="NormalWeb"/>
        <w:rPr>
          <w:color w:val="000000"/>
        </w:rPr>
      </w:pPr>
      <w:r>
        <w:rPr>
          <w:color w:val="000000"/>
        </w:rPr>
        <w:t>Once decisions are made, this stage ensures strategy is executed correctly across systems, elections, and workflows. Quantum focuses on alignment so tax benefits are preserved and not undermined by operational or documentation gaps.</w:t>
      </w:r>
    </w:p>
    <w:p w14:paraId="5FCC4218" w14:textId="77777777" w:rsidR="007A6193" w:rsidRDefault="007A6193" w:rsidP="007A6193">
      <w:pPr>
        <w:pStyle w:val="NormalWeb"/>
        <w:rPr>
          <w:color w:val="000000"/>
        </w:rPr>
      </w:pPr>
      <w:r>
        <w:rPr>
          <w:rStyle w:val="Strong"/>
          <w:color w:val="000000"/>
        </w:rPr>
        <w:t>Purpose</w:t>
      </w:r>
      <w:r>
        <w:rPr>
          <w:color w:val="000000"/>
        </w:rPr>
        <w:br/>
        <w:t>• Guide execution steps for elections, restructuring, and compliance alignment</w:t>
      </w:r>
      <w:r>
        <w:rPr>
          <w:color w:val="000000"/>
        </w:rPr>
        <w:br/>
        <w:t>• Coordinate considerations across payroll, accounting, banking, and recordkeeping</w:t>
      </w:r>
      <w:r>
        <w:rPr>
          <w:color w:val="000000"/>
        </w:rPr>
        <w:br/>
        <w:t>• Confirm documentation and timeline requirements for sustained compliance</w:t>
      </w:r>
    </w:p>
    <w:p w14:paraId="3A106E0F" w14:textId="77777777" w:rsidR="007A6193" w:rsidRDefault="007A6193" w:rsidP="007A6193">
      <w:pPr>
        <w:pStyle w:val="NormalWeb"/>
        <w:rPr>
          <w:color w:val="000000"/>
        </w:rPr>
      </w:pPr>
      <w:r>
        <w:rPr>
          <w:rStyle w:val="Strong"/>
          <w:color w:val="000000"/>
        </w:rPr>
        <w:t>Why It Matters</w:t>
      </w:r>
      <w:r>
        <w:rPr>
          <w:color w:val="000000"/>
        </w:rPr>
        <w:br/>
        <w:t>• Reduces execution risk that can invalidate expected benefits</w:t>
      </w:r>
      <w:r>
        <w:rPr>
          <w:color w:val="000000"/>
        </w:rPr>
        <w:br/>
        <w:t>• Improves operational control and compliance consistency</w:t>
      </w:r>
      <w:r>
        <w:rPr>
          <w:color w:val="000000"/>
        </w:rPr>
        <w:br/>
        <w:t>• Prevents avoidable penalties and downstream corrections</w:t>
      </w:r>
    </w:p>
    <w:p w14:paraId="235AF909" w14:textId="77777777" w:rsidR="007A6193" w:rsidRDefault="00D13AC9" w:rsidP="007A6193">
      <w:r>
        <w:rPr>
          <w:noProof/>
        </w:rPr>
        <w:pict w14:anchorId="7CB944E3">
          <v:rect id="_x0000_i1027" alt="" style="width:431.95pt;height:.05pt;mso-width-percent:0;mso-height-percent:0;mso-width-percent:0;mso-height-percent:0" o:hrpct="923" o:hralign="center" o:hrstd="t" o:hr="t" fillcolor="#a0a0a0" stroked="f"/>
        </w:pict>
      </w:r>
    </w:p>
    <w:p w14:paraId="7410A1F6" w14:textId="77777777" w:rsidR="007A6193" w:rsidRDefault="007A6193" w:rsidP="007A6193">
      <w:pPr>
        <w:pStyle w:val="Heading3"/>
        <w:rPr>
          <w:color w:val="000000"/>
        </w:rPr>
      </w:pPr>
      <w:r>
        <w:rPr>
          <w:color w:val="000000"/>
        </w:rPr>
        <w:t>Ongoing Review &amp; Strategic Adjustments</w:t>
      </w:r>
    </w:p>
    <w:p w14:paraId="3D225673" w14:textId="77777777" w:rsidR="007A6193" w:rsidRDefault="007A6193" w:rsidP="007A6193">
      <w:pPr>
        <w:pStyle w:val="NormalWeb"/>
        <w:rPr>
          <w:color w:val="000000"/>
        </w:rPr>
      </w:pPr>
      <w:r>
        <w:rPr>
          <w:color w:val="000000"/>
        </w:rPr>
        <w:t>This stage keeps tax strategy aligned as the business evolves. Quantum periodically reassesses structure and assumptions to ensure the strategy remains effective under changing income levels, ownership, or regulatory conditions.</w:t>
      </w:r>
    </w:p>
    <w:p w14:paraId="695B4BD2" w14:textId="77777777" w:rsidR="007A6193" w:rsidRDefault="007A6193" w:rsidP="007A6193">
      <w:pPr>
        <w:pStyle w:val="NormalWeb"/>
        <w:rPr>
          <w:color w:val="000000"/>
        </w:rPr>
      </w:pPr>
      <w:r>
        <w:rPr>
          <w:rStyle w:val="Strong"/>
          <w:color w:val="000000"/>
        </w:rPr>
        <w:t>Purpose</w:t>
      </w:r>
      <w:r>
        <w:rPr>
          <w:color w:val="000000"/>
        </w:rPr>
        <w:br/>
        <w:t>• Reassess strategy as income, ownership, or operations change</w:t>
      </w:r>
      <w:r>
        <w:rPr>
          <w:color w:val="000000"/>
        </w:rPr>
        <w:br/>
        <w:t>• Plan around expansions, capital transactions, or major events proactively</w:t>
      </w:r>
      <w:r>
        <w:rPr>
          <w:color w:val="000000"/>
        </w:rPr>
        <w:br/>
        <w:t>• Update controls and documentation to remain aligned and defensible</w:t>
      </w:r>
    </w:p>
    <w:p w14:paraId="6E78B385" w14:textId="77777777" w:rsidR="007A6193" w:rsidRDefault="007A6193" w:rsidP="007A6193">
      <w:pPr>
        <w:pStyle w:val="NormalWeb"/>
        <w:rPr>
          <w:color w:val="000000"/>
        </w:rPr>
      </w:pPr>
      <w:r>
        <w:rPr>
          <w:rStyle w:val="Strong"/>
          <w:color w:val="000000"/>
        </w:rPr>
        <w:t>Why It Matters</w:t>
      </w:r>
      <w:r>
        <w:rPr>
          <w:color w:val="000000"/>
        </w:rPr>
        <w:br/>
        <w:t>• Prevents strategies from becoming outdated or inefficient</w:t>
      </w:r>
      <w:r>
        <w:rPr>
          <w:color w:val="000000"/>
        </w:rPr>
        <w:br/>
        <w:t>• Improves predictability under changing conditions</w:t>
      </w:r>
      <w:r>
        <w:rPr>
          <w:color w:val="000000"/>
        </w:rPr>
        <w:br/>
        <w:t>• Sustains long-term governance over tax-sensitive decisions</w:t>
      </w:r>
    </w:p>
    <w:p w14:paraId="48E0ED90" w14:textId="48CE5795" w:rsidR="007A6193" w:rsidRDefault="007A6193" w:rsidP="00B15EC0">
      <w:pPr>
        <w:rPr>
          <w:b/>
          <w:bCs/>
        </w:rPr>
      </w:pPr>
      <w:r>
        <w:rPr>
          <w:b/>
          <w:bCs/>
        </w:rPr>
        <w:t>XXXX-----------------------------------------------------</w:t>
      </w:r>
      <w:commentRangeStart w:id="0"/>
      <w:r>
        <w:rPr>
          <w:b/>
          <w:bCs/>
        </w:rPr>
        <w:t>XXXXXXXXXX------------------------------------</w:t>
      </w:r>
      <w:commentRangeEnd w:id="0"/>
      <w:r>
        <w:rPr>
          <w:rStyle w:val="CommentReference"/>
          <w:b/>
          <w:bCs/>
          <w:sz w:val="22"/>
          <w:szCs w:val="22"/>
        </w:rPr>
        <w:commentReference w:id="0"/>
      </w:r>
    </w:p>
    <w:p w14:paraId="294C1644" w14:textId="0A891B17" w:rsidR="00B15EC0" w:rsidRPr="00B15EC0" w:rsidRDefault="00B15EC0" w:rsidP="00B15EC0">
      <w:pPr>
        <w:rPr>
          <w:b/>
          <w:bCs/>
        </w:rPr>
      </w:pPr>
      <w:r w:rsidRPr="00B15EC0">
        <w:rPr>
          <w:b/>
          <w:bCs/>
        </w:rPr>
        <w:t>Business Tax Strategies as a Structure-First, Forward-Looking Discipline</w:t>
      </w:r>
    </w:p>
    <w:p w14:paraId="09DAE74F" w14:textId="1A8D3CC5" w:rsidR="00B15EC0" w:rsidRDefault="00DD774C" w:rsidP="00DD774C">
      <w:r w:rsidRPr="00DD774C">
        <w:rPr>
          <w:rFonts w:ascii="Cambria" w:hAnsi="Cambria"/>
          <w:color w:val="000000"/>
        </w:rPr>
        <w:t>Key business tax outcomes depend on early decisions—such as entity type, ownership structure, compensation, accounting methods, and state/local tax treatment—plus meeting deadlines for required federal elections. With many provisions set to expire after 2025, Congress passed Public Law 119-21 in July 2025, introducing major changes to tax rules and compliance starting in 2025–2026.</w:t>
      </w:r>
    </w:p>
    <w:p w14:paraId="481545D7" w14:textId="1463C829" w:rsidR="00B15EC0" w:rsidRDefault="00B15EC0" w:rsidP="00B15EC0">
      <w:r>
        <w:rPr>
          <w:rFonts w:hint="eastAsia"/>
        </w:rPr>
        <w:t>This research brief grounds Quantum</w:t>
      </w:r>
      <w:r>
        <w:t>’</w:t>
      </w:r>
      <w:r>
        <w:rPr>
          <w:rFonts w:hint="eastAsia"/>
        </w:rPr>
        <w:t xml:space="preserve">s Business Tax Strategies framework (discovery </w:t>
      </w:r>
      <w:r>
        <w:rPr>
          <w:rFonts w:hint="eastAsia"/>
        </w:rPr>
        <w:t>→</w:t>
      </w:r>
      <w:r>
        <w:rPr>
          <w:rFonts w:hint="eastAsia"/>
        </w:rPr>
        <w:t xml:space="preserve"> assessment </w:t>
      </w:r>
      <w:r>
        <w:rPr>
          <w:rFonts w:hint="eastAsia"/>
        </w:rPr>
        <w:t>→</w:t>
      </w:r>
      <w:r>
        <w:rPr>
          <w:rFonts w:hint="eastAsia"/>
        </w:rPr>
        <w:t xml:space="preserve"> design </w:t>
      </w:r>
      <w:r>
        <w:rPr>
          <w:rFonts w:hint="eastAsia"/>
        </w:rPr>
        <w:t>→</w:t>
      </w:r>
      <w:r>
        <w:rPr>
          <w:rFonts w:hint="eastAsia"/>
        </w:rPr>
        <w:t xml:space="preserve"> modeling </w:t>
      </w:r>
      <w:r>
        <w:rPr>
          <w:rFonts w:hint="eastAsia"/>
        </w:rPr>
        <w:t>→</w:t>
      </w:r>
      <w:r>
        <w:rPr>
          <w:rFonts w:hint="eastAsia"/>
        </w:rPr>
        <w:t xml:space="preserve"> implementation </w:t>
      </w:r>
      <w:r>
        <w:rPr>
          <w:rFonts w:hint="eastAsia"/>
        </w:rPr>
        <w:t>→</w:t>
      </w:r>
      <w:r>
        <w:rPr>
          <w:rFonts w:hint="eastAsia"/>
        </w:rPr>
        <w:t xml:space="preserve"> ongoing review) in primary </w:t>
      </w:r>
      <w:r>
        <w:rPr>
          <w:rFonts w:hint="eastAsia"/>
        </w:rPr>
        <w:lastRenderedPageBreak/>
        <w:t>authorities and widely cited technical guidance, with emphasis on defensibility and governance</w:t>
      </w:r>
      <w:r>
        <w:t xml:space="preserve"> in addition to tax efficiency.</w:t>
      </w:r>
    </w:p>
    <w:p w14:paraId="73252DCE" w14:textId="77777777" w:rsidR="00B15EC0" w:rsidRPr="00B15EC0" w:rsidRDefault="00B15EC0" w:rsidP="00B15EC0">
      <w:pPr>
        <w:rPr>
          <w:b/>
          <w:bCs/>
        </w:rPr>
      </w:pPr>
      <w:r w:rsidRPr="00B15EC0">
        <w:rPr>
          <w:b/>
          <w:bCs/>
        </w:rPr>
        <w:t>Why structure-first planning is the dominant tax lever</w:t>
      </w:r>
    </w:p>
    <w:p w14:paraId="458679BD" w14:textId="3B54F1B8" w:rsidR="00B15EC0" w:rsidRPr="0070622A" w:rsidRDefault="00DD774C" w:rsidP="00DD774C">
      <w:r w:rsidRPr="00DD774C">
        <w:rPr>
          <w:rFonts w:ascii="Cambria" w:hAnsi="Cambria"/>
          <w:color w:val="000000"/>
        </w:rPr>
        <w:t>Entity form determines (a) the applicable tax return, (b) whether taxes are paid by the business or passed through to owners, and (c) the tax treatment of wages, distributions, and other payments. Federal corporate tax is a flat 21% on taxable income, wi</w:t>
      </w:r>
      <w:r w:rsidRPr="00DD774C">
        <w:rPr>
          <w:rFonts w:ascii="Cambria" w:hAnsi="Cambria"/>
          <w:b/>
          <w:color w:val="000000"/>
        </w:rPr>
        <w:t>th possible additional shareholder tax on distributions. Two str</w:t>
      </w:r>
      <w:r w:rsidRPr="00DD774C">
        <w:rPr>
          <w:rFonts w:ascii="Cambria" w:hAnsi="Cambria"/>
          <w:color w:val="000000"/>
        </w:rPr>
        <w:t>uctural features show the importance of proactive design:</w:t>
      </w:r>
    </w:p>
    <w:p w14:paraId="69EF95C2" w14:textId="1A6F5583" w:rsidR="00B15EC0" w:rsidRDefault="00B15EC0" w:rsidP="00B15EC0">
      <w:r w:rsidRPr="0070622A">
        <w:rPr>
          <w:b/>
          <w:bCs/>
        </w:rPr>
        <w:t>Elections are time-bound and partially irreversible</w:t>
      </w:r>
      <w:r w:rsidR="0070622A">
        <w:rPr>
          <w:b/>
          <w:bCs/>
        </w:rPr>
        <w:t>:</w:t>
      </w:r>
      <w:r>
        <w:t xml:space="preserve"> An S-corporation election must generally be filed no later than 2 months and 15 days after the beginning of the tax year it is to take effect (or in the preceding year). </w:t>
      </w:r>
    </w:p>
    <w:p w14:paraId="6C4D6486" w14:textId="5E8C3119" w:rsidR="00B15EC0" w:rsidRDefault="00B15EC0" w:rsidP="00B15EC0">
      <w:r>
        <w:t xml:space="preserve"> Entity classification elections on Form 8832 have limits on retroactive and prospective effective dates (generally not more than 75 days prior and not more than 12 months after filing, subject to specific rules). </w:t>
      </w:r>
    </w:p>
    <w:p w14:paraId="26FBF544" w14:textId="0064634B" w:rsidR="00B15EC0" w:rsidRDefault="00B15EC0" w:rsidP="0070622A">
      <w:r w:rsidRPr="0070622A">
        <w:rPr>
          <w:b/>
          <w:bCs/>
        </w:rPr>
        <w:t>Tax law changes can reprice strategies</w:t>
      </w:r>
      <w:r w:rsidR="0070622A">
        <w:rPr>
          <w:b/>
          <w:bCs/>
        </w:rPr>
        <w:t>:</w:t>
      </w:r>
      <w:r>
        <w:t xml:space="preserve"> Public Law 119-21 amended multiple business provisions, including restoring 100% additional first-year depreciation for qualifying property acquired after January 19, 2025, and adding new rules for domestic R&amp;E expensing under new section 174A (with elections and accounting method procedures).</w:t>
      </w:r>
    </w:p>
    <w:p w14:paraId="2AFCE614" w14:textId="77777777" w:rsidR="00B15EC0" w:rsidRDefault="00B15EC0" w:rsidP="00B15EC0">
      <w:r>
        <w:t>These facts support a strategy process that starts with operating reality and decision constraints (discovery), then moves into structured assessment and modeling before execution.</w:t>
      </w:r>
    </w:p>
    <w:p w14:paraId="5A366AAD" w14:textId="77777777" w:rsidR="00B15EC0" w:rsidRPr="00B15EC0" w:rsidRDefault="00B15EC0" w:rsidP="00B15EC0">
      <w:pPr>
        <w:rPr>
          <w:b/>
          <w:bCs/>
        </w:rPr>
      </w:pPr>
      <w:r w:rsidRPr="00B15EC0">
        <w:rPr>
          <w:b/>
          <w:bCs/>
        </w:rPr>
        <w:t>Strategic business and tax discovery as risk and opportunity identification</w:t>
      </w:r>
    </w:p>
    <w:p w14:paraId="1225457F" w14:textId="77777777" w:rsidR="00CC36B9" w:rsidRDefault="00B15EC0" w:rsidP="00B15EC0">
      <w:r>
        <w:t xml:space="preserve">A discovery phase is valuable because federal tax outcomes depend on how income is generated and characterized, and on the relationship between owners and the business (services provided, capital invested, risk borne). The explicitly frames “paying yourself” as dependent on business structure and notes that officers are generally employees and should be paid wages commensurate with duties. </w:t>
      </w:r>
    </w:p>
    <w:p w14:paraId="27E94E2F" w14:textId="0D04F485" w:rsidR="00B15EC0" w:rsidRDefault="00B15EC0" w:rsidP="00B15EC0">
      <w:r>
        <w:t>Discovery is also where governance and compliance constraints are surfaced early, including:</w:t>
      </w:r>
    </w:p>
    <w:p w14:paraId="39F4C1AF" w14:textId="7508E3DD" w:rsidR="0070622A" w:rsidRDefault="00B15EC0" w:rsidP="00B15EC0">
      <w:r w:rsidRPr="0070622A">
        <w:rPr>
          <w:b/>
          <w:bCs/>
        </w:rPr>
        <w:t>Entity classification defaults and exceptions (especially for LLCs)</w:t>
      </w:r>
      <w:r w:rsidR="0070622A">
        <w:rPr>
          <w:b/>
          <w:bCs/>
        </w:rPr>
        <w:t>.</w:t>
      </w:r>
      <w:r w:rsidR="0070622A">
        <w:t xml:space="preserve"> </w:t>
      </w:r>
      <w:r>
        <w:t xml:space="preserve">IRS guidance explains that single-member LLCs are generally treated as “disregarded entities” for income tax (unless they elect corporate treatment), and multi-member LLCs as partnerships by default (unless they elect corporate treatment). </w:t>
      </w:r>
      <w:r>
        <w:t xml:space="preserve"> </w:t>
      </w:r>
      <w:r>
        <w:t xml:space="preserve">This is grounded in the “check-the-box” regulations under Treas. Reg. §301.7701-3. </w:t>
      </w:r>
      <w:r>
        <w:t xml:space="preserve"> </w:t>
      </w:r>
    </w:p>
    <w:p w14:paraId="4C8DEFC1" w14:textId="77777777" w:rsidR="00CC36B9" w:rsidRDefault="00B15EC0" w:rsidP="00B15EC0">
      <w:r w:rsidRPr="0070622A">
        <w:rPr>
          <w:b/>
          <w:bCs/>
        </w:rPr>
        <w:t>Growth intent and exit horizon.</w:t>
      </w:r>
      <w:r>
        <w:t xml:space="preserve"> If a business might pursue equity financing, acquisition, or founder liquidity, discovery should capture whether C-corporation qualification could </w:t>
      </w:r>
      <w:r>
        <w:lastRenderedPageBreak/>
        <w:t>create access to favorable capital gain regimes (notably qualified small business stock). The Internal Revenue Code’s QSBS rule is codified at section 1202 and requires, among other things, that the issuing corporation be a C corporation and satisfy active business requirements. Public Law 119-21 further expanded QSBS rules (including a phased exclusion tied to holding period and changes to dollar limits).</w:t>
      </w:r>
      <w:r>
        <w:t xml:space="preserve"> </w:t>
      </w:r>
    </w:p>
    <w:p w14:paraId="627F9A50" w14:textId="77777777" w:rsidR="00CC36B9" w:rsidRDefault="00B15EC0" w:rsidP="00B15EC0">
      <w:r>
        <w:t>Because discovery determines which structural questions are relevant, it directly affects scope and prioritization for assessment and modeling.</w:t>
      </w:r>
      <w:r>
        <w:t xml:space="preserve"> </w:t>
      </w:r>
    </w:p>
    <w:p w14:paraId="13C9D85E" w14:textId="77777777" w:rsidR="00CC36B9" w:rsidRDefault="00B15EC0" w:rsidP="00B15EC0">
      <w:r w:rsidRPr="00CC36B9">
        <w:rPr>
          <w:b/>
          <w:bCs/>
        </w:rPr>
        <w:t>Current-state tax and structural assessment as a defensible baseline</w:t>
      </w:r>
      <w:r w:rsidRPr="00CC36B9">
        <w:rPr>
          <w:b/>
          <w:bCs/>
        </w:rPr>
        <w:t>.</w:t>
      </w:r>
      <w:r>
        <w:t xml:space="preserve"> </w:t>
      </w:r>
    </w:p>
    <w:p w14:paraId="1E99F6A1" w14:textId="544FC873" w:rsidR="00B15EC0" w:rsidRDefault="00B15EC0" w:rsidP="00B15EC0">
      <w:r>
        <w:t>A current-state assessment is most defensible when it reconciles three layers: (1) legal entity and tax classification, (2) owner compensation mechanics and employment/self-employment tax exposure, and (3) jurisdiction footprint (state and local tax nexus and sourcing). These areas are frequent drivers of overpayment, audit exposure, or both.</w:t>
      </w:r>
    </w:p>
    <w:p w14:paraId="2DE29A2F" w14:textId="77777777" w:rsidR="00B15EC0" w:rsidRPr="00B15EC0" w:rsidRDefault="00B15EC0" w:rsidP="00B15EC0">
      <w:pPr>
        <w:rPr>
          <w:b/>
          <w:bCs/>
        </w:rPr>
      </w:pPr>
      <w:r w:rsidRPr="00B15EC0">
        <w:rPr>
          <w:b/>
          <w:bCs/>
        </w:rPr>
        <w:t>Entity classification and election posture</w:t>
      </w:r>
    </w:p>
    <w:p w14:paraId="4773AA39" w14:textId="77777777" w:rsidR="00B15EC0" w:rsidRDefault="00B15EC0" w:rsidP="00B15EC0">
      <w:r>
        <w:t xml:space="preserve">The entity classification regulations prescribe how eligible entities can elect classification (Form 8832), including limits on effective dates and change frequency (including “60-month” limitations in certain contexts). </w:t>
      </w:r>
      <w:r>
        <w:t xml:space="preserve"> </w:t>
      </w:r>
      <w:r>
        <w:t xml:space="preserve">An assessment should verify whether the current classification matches the operating intent and whether election timing limits constrain near-term restructuring. </w:t>
      </w:r>
      <w:r>
        <w:t xml:space="preserve"> </w:t>
      </w:r>
    </w:p>
    <w:p w14:paraId="584D92C0" w14:textId="1CB0D8A3" w:rsidR="00B15EC0" w:rsidRPr="00B15EC0" w:rsidRDefault="00B15EC0" w:rsidP="00B15EC0">
      <w:pPr>
        <w:rPr>
          <w:b/>
          <w:bCs/>
        </w:rPr>
      </w:pPr>
      <w:r w:rsidRPr="00B15EC0">
        <w:rPr>
          <w:b/>
          <w:bCs/>
        </w:rPr>
        <w:t>Owner compensation, wages, and tax character</w:t>
      </w:r>
    </w:p>
    <w:p w14:paraId="2BCE0F4C" w14:textId="3A8EADCC" w:rsidR="00B15EC0" w:rsidRDefault="00B15EC0" w:rsidP="00B15EC0">
      <w:r>
        <w:t>For S corporations, the IRS emphasizes that corporate officers are generally employees and compensation for services should be treated as wages rather than disguised as distributions or loans.  The IRS also notes that courts have found shareholder-employees subject to employment taxes even when payments are labeled as distributions or other compensation. For partnerships/LLCs taxed as partnerships, IRS guidance explains that partners are generally self-employed for services performed for the partnership and may need to file Schedule SE to pay self-employment tax on net earnings, though the rules can be nuanced (including exceptions and special rules for certain partner types). Publication 541 provides baseline definitions for partnership concepts such as guaranteed payments and their general tax treatment. This assessment matters because owner compensation and payment characterization can affect:</w:t>
      </w:r>
    </w:p>
    <w:p w14:paraId="3FD77FFB" w14:textId="77777777" w:rsidR="00B15EC0" w:rsidRDefault="00B15EC0" w:rsidP="00CC36B9">
      <w:pPr>
        <w:pStyle w:val="ListParagraph"/>
        <w:numPr>
          <w:ilvl w:val="0"/>
          <w:numId w:val="11"/>
        </w:numPr>
      </w:pPr>
      <w:r>
        <w:t xml:space="preserve">exposure to employment taxes and penalties from misclassification (supported by IRS guidance and examination frameworks), </w:t>
      </w:r>
    </w:p>
    <w:p w14:paraId="721CDFB4" w14:textId="77777777" w:rsidR="00B15EC0" w:rsidRDefault="00B15EC0" w:rsidP="00CC36B9">
      <w:pPr>
        <w:pStyle w:val="ListParagraph"/>
        <w:numPr>
          <w:ilvl w:val="0"/>
          <w:numId w:val="11"/>
        </w:numPr>
      </w:pPr>
      <w:r>
        <w:t>eligibility and computation mechanics for the qualified business income deduction (which explicitly excludes “reasonable compensation” and certain service payments from QBI),</w:t>
      </w:r>
    </w:p>
    <w:p w14:paraId="32BEFB73" w14:textId="77777777" w:rsidR="00B15EC0" w:rsidRDefault="00B15EC0" w:rsidP="00CC36B9">
      <w:pPr>
        <w:pStyle w:val="ListParagraph"/>
        <w:numPr>
          <w:ilvl w:val="0"/>
          <w:numId w:val="11"/>
        </w:numPr>
      </w:pPr>
      <w:r>
        <w:t>the “right” mix of wages, distributions, and reinvestment for future financing and explainable profitability.</w:t>
      </w:r>
    </w:p>
    <w:p w14:paraId="63C14A3C" w14:textId="77777777" w:rsidR="00B15EC0" w:rsidRPr="00CC36B9" w:rsidRDefault="00B15EC0" w:rsidP="00B15EC0">
      <w:pPr>
        <w:rPr>
          <w:b/>
          <w:bCs/>
        </w:rPr>
      </w:pPr>
      <w:r w:rsidRPr="00CC36B9">
        <w:rPr>
          <w:b/>
          <w:bCs/>
        </w:rPr>
        <w:lastRenderedPageBreak/>
        <w:t>Multi-jurisdictional footprint and SALT exposure</w:t>
      </w:r>
    </w:p>
    <w:p w14:paraId="5117756B" w14:textId="77777777" w:rsidR="00CC36B9" w:rsidRDefault="00CC36B9" w:rsidP="00B15EC0">
      <w:pPr>
        <w:rPr>
          <w:rFonts w:ascii="Cambria" w:hAnsi="Cambria"/>
          <w:color w:val="000000"/>
        </w:rPr>
      </w:pPr>
      <w:r w:rsidRPr="00CC36B9">
        <w:rPr>
          <w:rFonts w:ascii="Cambria" w:hAnsi="Cambria"/>
          <w:color w:val="000000"/>
        </w:rPr>
        <w:t>A structural tax assessment should treat multi-state exposure as a core design consideration. After South Dakota v. Wayfair (2018), all states with sales tax have adopted economic nexus rules for remote sellers, effective by January 2026. For income and franchise taxes, nexus may be established by property, payroll, or sales under “factor presence” standards, with clear thresholds. Federal rules, such as P.L. 86-272, limit some state income taxes, though protections are narrowing for internet activities. State-specific sourcing rules, especially the shift toward market-based sourcing for services, significantly impact taxable income and create both risks and planning opportunities when customer and delivery locations differ.</w:t>
      </w:r>
      <w:r>
        <w:rPr>
          <w:rFonts w:ascii="Cambria" w:hAnsi="Cambria"/>
          <w:color w:val="000000"/>
        </w:rPr>
        <w:t xml:space="preserve"> </w:t>
      </w:r>
    </w:p>
    <w:p w14:paraId="06562E20" w14:textId="58D07B4F" w:rsidR="00B15EC0" w:rsidRPr="00CC36B9" w:rsidRDefault="00B15EC0" w:rsidP="00B15EC0">
      <w:pPr>
        <w:rPr>
          <w:b/>
          <w:bCs/>
        </w:rPr>
      </w:pPr>
      <w:r w:rsidRPr="00CC36B9">
        <w:rPr>
          <w:b/>
          <w:bCs/>
        </w:rPr>
        <w:t>Business tax strategy design and engineering in a post–Public Law 119-21 environment</w:t>
      </w:r>
    </w:p>
    <w:p w14:paraId="33342957" w14:textId="04FE3A4E" w:rsidR="00B15EC0" w:rsidRDefault="00CC36B9" w:rsidP="00CC36B9">
      <w:r w:rsidRPr="00CC36B9">
        <w:rPr>
          <w:rFonts w:ascii="Cambria" w:hAnsi="Cambria"/>
          <w:color w:val="000000"/>
        </w:rPr>
        <w:t>Strategy design turns assessment results into compliant options and classifies levers as structural, operational, or timing-based. Public Law 119-21 is particularly important for its changes to these levers effective in 2025–2026.</w:t>
      </w:r>
    </w:p>
    <w:p w14:paraId="7322AC6B" w14:textId="77777777" w:rsidR="00B15EC0" w:rsidRDefault="00B15EC0" w:rsidP="00B15EC0"/>
    <w:p w14:paraId="143D7F75" w14:textId="77777777" w:rsidR="00B15EC0" w:rsidRPr="00CC36B9" w:rsidRDefault="00B15EC0" w:rsidP="00B15EC0">
      <w:pPr>
        <w:rPr>
          <w:b/>
          <w:bCs/>
        </w:rPr>
      </w:pPr>
      <w:r w:rsidRPr="00CC36B9">
        <w:rPr>
          <w:b/>
          <w:bCs/>
        </w:rPr>
        <w:t>Pass-through design and section 199A mechanics</w:t>
      </w:r>
    </w:p>
    <w:p w14:paraId="69D97F9C" w14:textId="3BF9BCBB" w:rsidR="00B15EC0" w:rsidRDefault="00CC36B9" w:rsidP="00CC36B9">
      <w:r w:rsidRPr="00CC36B9">
        <w:rPr>
          <w:rFonts w:ascii="Cambria" w:hAnsi="Cambria"/>
          <w:color w:val="000000"/>
        </w:rPr>
        <w:t>Public Law 119-21 extends and enhances section 199A by widening the phase-in range to $75,000/$150,000 and introducing a minimum deduction for eligible active taxpayers, with inflation adjustments after 2026. Under section 199A, qualified business income excludes reasonable compensation and certain service payments, so wage and service payment structures impact both payroll taxes and QBI calculations.</w:t>
      </w:r>
    </w:p>
    <w:p w14:paraId="5801617B" w14:textId="77777777" w:rsidR="00B15EC0" w:rsidRDefault="00B15EC0" w:rsidP="00B15EC0"/>
    <w:p w14:paraId="48059568" w14:textId="77777777" w:rsidR="00B15EC0" w:rsidRPr="00CC36B9" w:rsidRDefault="00B15EC0" w:rsidP="00B15EC0">
      <w:pPr>
        <w:rPr>
          <w:b/>
          <w:bCs/>
        </w:rPr>
      </w:pPr>
      <w:r w:rsidRPr="00CC36B9">
        <w:rPr>
          <w:b/>
          <w:bCs/>
        </w:rPr>
        <w:t>Capital investment timing and cost recovery</w:t>
      </w:r>
    </w:p>
    <w:p w14:paraId="44A71314" w14:textId="30A2A1E4" w:rsidR="00B15EC0" w:rsidRDefault="007B64D8" w:rsidP="007B64D8">
      <w:r w:rsidRPr="007B64D8">
        <w:rPr>
          <w:rFonts w:ascii="Cambria" w:hAnsi="Cambria"/>
          <w:color w:val="000000"/>
        </w:rPr>
        <w:t>Public Law 119-21 raises the first-year depreciation deduction under section 168(k) to 100% for qualifying property acquired after January 19, 2025. A transitional election allows 40% or 60% deductions for the first taxable year ending after that date. Notice 2026-11 provides interim guidance and clarifies regulatory changes. Timing of acquisition and service can impact taxable income, credits, and tax bracket management.</w:t>
      </w:r>
    </w:p>
    <w:p w14:paraId="34B11AD7" w14:textId="77777777" w:rsidR="00B15EC0" w:rsidRPr="007B64D8" w:rsidRDefault="00B15EC0" w:rsidP="00B15EC0">
      <w:pPr>
        <w:rPr>
          <w:b/>
          <w:bCs/>
        </w:rPr>
      </w:pPr>
      <w:r w:rsidRPr="007B64D8">
        <w:rPr>
          <w:b/>
          <w:bCs/>
        </w:rPr>
        <w:t>Research and experimentation cost treatment under new section 174A</w:t>
      </w:r>
    </w:p>
    <w:p w14:paraId="095F6BE5" w14:textId="77777777" w:rsidR="00B15EC0" w:rsidRDefault="00B15EC0" w:rsidP="00B15EC0">
      <w:r>
        <w:t xml:space="preserve">Public Law 119-21 created new section 174A, allowing taxpayers to deduct domestic research or experimental expenditures, with elections to capitalize/amortize and specific accounting method change mechanics. </w:t>
      </w:r>
    </w:p>
    <w:p w14:paraId="4110994C" w14:textId="7BF17A53" w:rsidR="00B15EC0" w:rsidRDefault="00B15EC0" w:rsidP="00B15EC0">
      <w:r>
        <w:t xml:space="preserve">The IRS issued procedural guidance in Rev. Proc. 2025-28 addressing elections and method change procedures tied to section 174A. Technical commentary confirms the effective date </w:t>
      </w:r>
      <w:r>
        <w:lastRenderedPageBreak/>
        <w:t xml:space="preserve">generally applies to amounts paid or incurred in tax years beginning after December 31, 2024, while foreign R&amp;E costs remain subject to separate capitalization/amortization regimes. </w:t>
      </w:r>
    </w:p>
    <w:p w14:paraId="34D5D9F1" w14:textId="77777777" w:rsidR="00B15EC0" w:rsidRPr="007B64D8" w:rsidRDefault="00B15EC0" w:rsidP="00B15EC0">
      <w:pPr>
        <w:rPr>
          <w:b/>
          <w:bCs/>
        </w:rPr>
      </w:pPr>
      <w:r w:rsidRPr="007B64D8">
        <w:rPr>
          <w:b/>
          <w:bCs/>
        </w:rPr>
        <w:t>Interest deduction limitation under section 163(j)</w:t>
      </w:r>
    </w:p>
    <w:p w14:paraId="3145847C" w14:textId="1DF566C6" w:rsidR="00B15EC0" w:rsidRDefault="00B15EC0" w:rsidP="00B15EC0">
      <w:r>
        <w:t>The IRS’s updated Q&amp;A on section 163(j) explains the limitation framework and notes that Public Law 119-21 amended section 163(j), including changes affecting adjusted taxable income computations (notably add-backs for depreciation/amortization/depletion for certain years) and ordering rules for interest capitalization for years beginning after December 31, 2025. Collectively, these provisions reinforce the logic of a “design then file” discipline: the most impactful tax benefits and risks are embedded in operating choices made throughout the year.</w:t>
      </w:r>
    </w:p>
    <w:p w14:paraId="1D8C14ED" w14:textId="77777777" w:rsidR="00B15EC0" w:rsidRPr="007B64D8" w:rsidRDefault="00B15EC0" w:rsidP="00B15EC0">
      <w:pPr>
        <w:rPr>
          <w:b/>
          <w:bCs/>
        </w:rPr>
      </w:pPr>
      <w:r w:rsidRPr="007B64D8">
        <w:rPr>
          <w:b/>
          <w:bCs/>
        </w:rPr>
        <w:t>Scenario modeling and decision support as the bridge between tax law and executive choices</w:t>
      </w:r>
    </w:p>
    <w:p w14:paraId="1628C404" w14:textId="77777777" w:rsidR="007B64D8" w:rsidRDefault="00B15EC0" w:rsidP="00B15EC0">
      <w:r>
        <w:t>A strategy that is “structure-first” must be translated into decision-ready comparisons, because many tax benefits require tradeoffs across cash flow, payroll taxes, investor preference, administrative burden, and audit exposure.</w:t>
      </w:r>
      <w:r w:rsidR="007B64D8">
        <w:t xml:space="preserve"> </w:t>
      </w:r>
      <w:r>
        <w:t>Scenario modeling in this context commonly needs to quantify:</w:t>
      </w:r>
    </w:p>
    <w:p w14:paraId="34030DB5" w14:textId="32A5B6FE" w:rsidR="007B64D8" w:rsidRDefault="007B64D8" w:rsidP="007B64D8">
      <w:r w:rsidRPr="007B64D8">
        <w:rPr>
          <w:rFonts w:ascii="Cambria" w:hAnsi="Cambria"/>
          <w:color w:val="000000"/>
        </w:rPr>
        <w:t>Corporate income is taxed at 21%, while pass-through income goes to owners and may qualify for the section 199A deduction, so choosing an entity depends on owner tax brackets, reinvestment, and distribution policies.</w:t>
      </w:r>
    </w:p>
    <w:p w14:paraId="05AA9D5E" w14:textId="782664A9" w:rsidR="00B15EC0" w:rsidRDefault="00B15EC0" w:rsidP="00B15EC0">
      <w:r w:rsidRPr="007B64D8">
        <w:rPr>
          <w:b/>
          <w:bCs/>
        </w:rPr>
        <w:t>Compensation design sensitivities.</w:t>
      </w:r>
      <w:r>
        <w:t xml:space="preserve"> IRS guidance emphasizes that S-corp officers/shareholder-employees should receive reasonable compensation as wages, and courts may recharacterize distributions as wages (with employment tax implications). </w:t>
      </w:r>
      <w:r w:rsidR="007B64D8">
        <w:t>M</w:t>
      </w:r>
      <w:r>
        <w:t xml:space="preserve">odeling should therefore evaluate payroll tax costs alongside any distribution </w:t>
      </w:r>
      <w:r w:rsidR="007B64D8">
        <w:t>strategy and</w:t>
      </w:r>
      <w:r>
        <w:t xml:space="preserve"> incorporate defensibility constraints rather than optimizing purely for tax.</w:t>
      </w:r>
    </w:p>
    <w:p w14:paraId="70CB5CEC" w14:textId="4C931C00" w:rsidR="00B15EC0" w:rsidRDefault="007B64D8" w:rsidP="007B64D8">
      <w:r w:rsidRPr="007B64D8">
        <w:rPr>
          <w:rFonts w:ascii="Cambria" w:hAnsi="Cambria"/>
          <w:b/>
          <w:bCs/>
          <w:color w:val="000000"/>
        </w:rPr>
        <w:t>Exit and equity value differences</w:t>
      </w:r>
      <w:r w:rsidRPr="007B64D8">
        <w:rPr>
          <w:rFonts w:ascii="Cambria" w:hAnsi="Cambria"/>
          <w:color w:val="000000"/>
        </w:rPr>
        <w:t xml:space="preserve"> arise after Public Law 119-21 expanded QSBS rules under section 1202, introducing a phased exclusion schedule and higher dollar limits for post-enactment stock. For potentially eligible businesses, modeling compares operating as a pass-through versus qualifying for QSBS, factoring in constraints and timelines.</w:t>
      </w:r>
    </w:p>
    <w:p w14:paraId="7D702D3A" w14:textId="12CA24CE" w:rsidR="00B15EC0" w:rsidRDefault="00B15EC0" w:rsidP="007B64D8">
      <w:r w:rsidRPr="007B64D8">
        <w:rPr>
          <w:b/>
          <w:bCs/>
        </w:rPr>
        <w:t>Timing-driven deductions</w:t>
      </w:r>
      <w:r>
        <w:t xml:space="preserve"> (capex and R&amp;D). Permanent 100% bonus depreciation (post–Jan 19, </w:t>
      </w:r>
      <w:r w:rsidR="007B64D8">
        <w:t>2025,</w:t>
      </w:r>
      <w:r>
        <w:t xml:space="preserve"> acquisitions) and restored domestic R&amp;E expensing can significantly change near-term taxable income and cash tax, but also interact with other limitation regimes (e.g., interest limitation computations and credit interactions). </w:t>
      </w:r>
    </w:p>
    <w:p w14:paraId="71990ADD" w14:textId="77777777" w:rsidR="007B64D8" w:rsidRDefault="00B15EC0" w:rsidP="00B15EC0">
      <w:r w:rsidRPr="007B64D8">
        <w:rPr>
          <w:b/>
          <w:bCs/>
        </w:rPr>
        <w:t>State footprint sensitivity.</w:t>
      </w:r>
      <w:r>
        <w:t xml:space="preserve"> Sales tax economic nexus rules exist across all sales-tax states, and income tax nexus and apportionment can be triggered by factor thresholds and sourcing rules, creating meaningful variance in after-tax outcomes as customer geography shifts. </w:t>
      </w:r>
    </w:p>
    <w:p w14:paraId="09B1748B" w14:textId="27012299" w:rsidR="00B15EC0" w:rsidRDefault="00B15EC0" w:rsidP="00B15EC0">
      <w:r>
        <w:lastRenderedPageBreak/>
        <w:t>The distinguishing feature of governance-first modeling is that it documents assumptions and constraints (e.g., required compensation posture, election deadlines, nexus thresholds), which improves audit defensibility and prevents “paper savings” that cannot be executed lawfully.</w:t>
      </w:r>
    </w:p>
    <w:p w14:paraId="1E6A5E37" w14:textId="77777777" w:rsidR="00B15EC0" w:rsidRPr="007B64D8" w:rsidRDefault="00B15EC0" w:rsidP="00B15EC0">
      <w:pPr>
        <w:rPr>
          <w:b/>
          <w:bCs/>
        </w:rPr>
      </w:pPr>
      <w:r w:rsidRPr="007B64D8">
        <w:rPr>
          <w:b/>
          <w:bCs/>
        </w:rPr>
        <w:t>Implementation guidance and coordination as a control problem, not a paperwork task</w:t>
      </w:r>
    </w:p>
    <w:p w14:paraId="71AD16DB" w14:textId="77777777" w:rsidR="00B15EC0" w:rsidRDefault="00B15EC0" w:rsidP="00B15EC0">
      <w:r>
        <w:t>Implementation is where many tax strategies fail—not because the law is misunderstood, but because elections, payroll, accounting, and documentation are not executed consistently.</w:t>
      </w:r>
    </w:p>
    <w:p w14:paraId="3825099D" w14:textId="77777777" w:rsidR="00B15EC0" w:rsidRPr="007B64D8" w:rsidRDefault="00B15EC0" w:rsidP="00B15EC0">
      <w:r w:rsidRPr="007B64D8">
        <w:t>Key implementation controls supported by authoritative guidance include:</w:t>
      </w:r>
    </w:p>
    <w:p w14:paraId="7F2DCD43" w14:textId="77777777" w:rsidR="00B15EC0" w:rsidRDefault="00B15EC0" w:rsidP="00B15EC0">
      <w:r w:rsidRPr="007B64D8">
        <w:rPr>
          <w:b/>
          <w:bCs/>
        </w:rPr>
        <w:t>Election controls and timeline discipline.</w:t>
      </w:r>
      <w:r>
        <w:t xml:space="preserve"> The Form 2553 filing window (generally 2 months and 15 days after the beginning of the year of effect) and the Form 8832 effective date limits (generally up to 75 days retroactive and 12 months prospective) make project management and calendar controls essential. </w:t>
      </w:r>
    </w:p>
    <w:p w14:paraId="7BEF4161" w14:textId="778605A7" w:rsidR="00B15EC0" w:rsidRDefault="00B15EC0" w:rsidP="00B15EC0">
      <w:r>
        <w:t>The IRS also provides late election relief processes (e.g., Rev. Proc. 2013-30 and IRS guidance on late election relief), which must be handled through documented procedures rather than assumption.</w:t>
      </w:r>
    </w:p>
    <w:p w14:paraId="6FCA4B0C" w14:textId="6B48D48A" w:rsidR="00B15EC0" w:rsidRDefault="00B15EC0" w:rsidP="00B15EC0">
      <w:r w:rsidRPr="007B64D8">
        <w:rPr>
          <w:b/>
          <w:bCs/>
        </w:rPr>
        <w:t>Payroll and reasonable compensation documentation.</w:t>
      </w:r>
      <w:r>
        <w:t xml:space="preserve"> IRS materials make clear that S-corporation officer compensation should be treated as wages and that shareholder-employees can be subject to employment taxes even where payments are labeled as distributions.  Implementation should therefore include payroll setup, wage benchmarking support, and consistent classification of payments across payroll, general ledger, and shareholder reporting.</w:t>
      </w:r>
    </w:p>
    <w:p w14:paraId="3679FF6D" w14:textId="4A1357E7" w:rsidR="00B15EC0" w:rsidRDefault="00B15EC0" w:rsidP="00B15EC0">
      <w:r w:rsidRPr="007B64D8">
        <w:rPr>
          <w:b/>
          <w:bCs/>
        </w:rPr>
        <w:t>Accounting-method and procedure compliance for new rules.</w:t>
      </w:r>
      <w:r>
        <w:t xml:space="preserve"> For section 168(k), Notice 2026-11 provides interim reliance rules and elections (including a reduced percentage election) that must be consistently applied to eligible property. </w:t>
      </w:r>
    </w:p>
    <w:p w14:paraId="5E1D6E21" w14:textId="6320026C" w:rsidR="00B15EC0" w:rsidRDefault="00B15EC0" w:rsidP="007B64D8">
      <w:r>
        <w:t xml:space="preserve"> For section 174A, Rev. Proc. 2025-28 provides procedural requirements for elections and method changes, which must be integrated into year-end close and return preparation workflows. </w:t>
      </w:r>
    </w:p>
    <w:p w14:paraId="35100CD0" w14:textId="77777777" w:rsidR="007B64D8" w:rsidRDefault="00B15EC0" w:rsidP="00B15EC0">
      <w:r w:rsidRPr="007B64D8">
        <w:rPr>
          <w:b/>
          <w:bCs/>
        </w:rPr>
        <w:t>Evidence and audit trail.</w:t>
      </w:r>
      <w:r>
        <w:t xml:space="preserve"> The IRS’s Internal Revenue Manual frames employment tax determinations around identifying an employer, an employee, and wages/compensation—reinforcing the value of clean records, reconciliations, and documented classification logic. </w:t>
      </w:r>
    </w:p>
    <w:p w14:paraId="243B3C2A" w14:textId="1C7AFB86" w:rsidR="00B15EC0" w:rsidRDefault="00B15EC0" w:rsidP="00B15EC0">
      <w:r>
        <w:t>In practice, “implementation” in a structure-first approach is best treated as a cross-functional coordination exercise (tax, payroll, accounting, legal) with explicit ownership and control checkpoints.</w:t>
      </w:r>
    </w:p>
    <w:p w14:paraId="0F7FE530" w14:textId="77777777" w:rsidR="00B15EC0" w:rsidRDefault="00B15EC0" w:rsidP="00B15EC0"/>
    <w:p w14:paraId="38881251" w14:textId="77777777" w:rsidR="00B15EC0" w:rsidRPr="007B64D8" w:rsidRDefault="00B15EC0" w:rsidP="00B15EC0">
      <w:pPr>
        <w:rPr>
          <w:b/>
          <w:bCs/>
        </w:rPr>
      </w:pPr>
      <w:r w:rsidRPr="007B64D8">
        <w:rPr>
          <w:b/>
          <w:bCs/>
        </w:rPr>
        <w:lastRenderedPageBreak/>
        <w:t>Ongoing review and strategic adjustments as a governance cadence</w:t>
      </w:r>
    </w:p>
    <w:p w14:paraId="5D8352AA" w14:textId="77777777" w:rsidR="007B64D8" w:rsidRDefault="00B15EC0" w:rsidP="00B15EC0">
      <w:r>
        <w:t>Ongoing review is necessary because tax posture changes as income grows, geography shifts, and law evolves.</w:t>
      </w:r>
    </w:p>
    <w:p w14:paraId="27B2D9FC" w14:textId="7BAE01AD" w:rsidR="007B64D8" w:rsidRPr="007B64D8" w:rsidRDefault="00B15EC0" w:rsidP="00B15EC0">
      <w:r w:rsidRPr="007B64D8">
        <w:t>Three dynamics make periodic reassessment non-optional:</w:t>
      </w:r>
    </w:p>
    <w:p w14:paraId="099944B0" w14:textId="12073786" w:rsidR="00B15EC0" w:rsidRDefault="00B15EC0" w:rsidP="007B64D8">
      <w:r w:rsidRPr="007B64D8">
        <w:rPr>
          <w:b/>
          <w:bCs/>
        </w:rPr>
        <w:t>Federal law changes and new guidance cycles.</w:t>
      </w:r>
      <w:r>
        <w:t xml:space="preserve"> Public Law 119-21 created new regimes and required administrative guidance (e.g., Notice 2026-11 for bonus depreciation and Rev. Proc. 2025-28 for section 174A procedures). </w:t>
      </w:r>
    </w:p>
    <w:p w14:paraId="57ECC34B" w14:textId="77777777" w:rsidR="00B15EC0" w:rsidRDefault="00B15EC0" w:rsidP="00B15EC0">
      <w:r>
        <w:t xml:space="preserve"> Waiting until filing season to incorporate these changes increases the probability of missed elections, inconsistent accounting treatment, and avoidable rework.</w:t>
      </w:r>
    </w:p>
    <w:p w14:paraId="56EBA11D" w14:textId="752A5696" w:rsidR="00B15EC0" w:rsidRDefault="00B15EC0" w:rsidP="00DD774C">
      <w:r w:rsidRPr="00DD774C">
        <w:rPr>
          <w:b/>
          <w:bCs/>
        </w:rPr>
        <w:t>State nexus and sourcing drift.</w:t>
      </w:r>
      <w:r>
        <w:t xml:space="preserve"> Economic nexus standards for sales tax are now ubiquitous among sales-tax states, and income tax nexus standards and sourcing rules continue shifting (including narrowing interpretations of P.L. 86-272 in internet activity contexts and broader adoption of market-based sourcing). </w:t>
      </w:r>
    </w:p>
    <w:p w14:paraId="29AC7CF8" w14:textId="6543F456" w:rsidR="00DD774C" w:rsidRDefault="00B15EC0" w:rsidP="00B15EC0">
      <w:r w:rsidRPr="00DD774C">
        <w:rPr>
          <w:b/>
          <w:bCs/>
        </w:rPr>
        <w:t>Owner compensation and self-employment tax uncertainty in partnership structures.</w:t>
      </w:r>
      <w:r>
        <w:t xml:space="preserve"> IRS practice materials emphasize that partners are generally self-employed for services, while specific exceptions (e.g., for limited partners under IRC section 1402(a)</w:t>
      </w:r>
      <w:r w:rsidR="00DD774C">
        <w:t xml:space="preserve"> </w:t>
      </w:r>
      <w:r>
        <w:t xml:space="preserve">and related interpretations can be complex and subject to litigation and evolving judicial interpretation—raising the value of periodic review for high-income owners and multi-entity groups. </w:t>
      </w:r>
    </w:p>
    <w:p w14:paraId="3F59C2D8" w14:textId="6325514A" w:rsidR="0064016A" w:rsidRPr="00B15EC0" w:rsidRDefault="00B15EC0" w:rsidP="00B15EC0">
      <w:r>
        <w:t>A governance-first cadence typically revisits: (a) entity and election posture, (b) compensation structure and support, (c) nexus footprint and filing obligations, and (d) forward-looking timing opportunities (capex, R&amp;E, financing). This is the control layer that sustains the strategy under growth and scrutiny.</w:t>
      </w:r>
    </w:p>
    <w:sectPr w:rsidR="0064016A" w:rsidRPr="00B15EC0"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schal siwakoti" w:date="2026-02-01T16:33:00Z" w:initials="ns">
    <w:p w14:paraId="6E028C17" w14:textId="77777777" w:rsidR="007A6193" w:rsidRDefault="007A6193" w:rsidP="007A6193">
      <w:r>
        <w:rPr>
          <w:rStyle w:val="CommentReference"/>
        </w:rPr>
        <w:annotationRef/>
      </w:r>
      <w:r>
        <w:rPr>
          <w:sz w:val="20"/>
          <w:szCs w:val="20"/>
        </w:rPr>
        <w:t>To be discussed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028C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27AB4D" w16cex:dateUtc="2026-02-01T2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028C17" w16cid:durableId="6D27AB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224F8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B5626D"/>
    <w:multiLevelType w:val="hybridMultilevel"/>
    <w:tmpl w:val="5AFE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0D7790"/>
    <w:multiLevelType w:val="hybridMultilevel"/>
    <w:tmpl w:val="2A988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454833">
    <w:abstractNumId w:val="8"/>
  </w:num>
  <w:num w:numId="2" w16cid:durableId="566840474">
    <w:abstractNumId w:val="6"/>
  </w:num>
  <w:num w:numId="3" w16cid:durableId="1148589575">
    <w:abstractNumId w:val="5"/>
  </w:num>
  <w:num w:numId="4" w16cid:durableId="686449206">
    <w:abstractNumId w:val="4"/>
  </w:num>
  <w:num w:numId="5" w16cid:durableId="1292324659">
    <w:abstractNumId w:val="7"/>
  </w:num>
  <w:num w:numId="6" w16cid:durableId="1661733330">
    <w:abstractNumId w:val="3"/>
  </w:num>
  <w:num w:numId="7" w16cid:durableId="1775202755">
    <w:abstractNumId w:val="2"/>
  </w:num>
  <w:num w:numId="8" w16cid:durableId="321860723">
    <w:abstractNumId w:val="1"/>
  </w:num>
  <w:num w:numId="9" w16cid:durableId="414790514">
    <w:abstractNumId w:val="0"/>
  </w:num>
  <w:num w:numId="10" w16cid:durableId="1491754786">
    <w:abstractNumId w:val="10"/>
  </w:num>
  <w:num w:numId="11" w16cid:durableId="55686405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schal siwakoti">
    <w15:presenceInfo w15:providerId="Windows Live" w15:userId="368ef8979f72d2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16A"/>
    <w:rsid w:val="0070622A"/>
    <w:rsid w:val="007A6193"/>
    <w:rsid w:val="007B64D8"/>
    <w:rsid w:val="009D7523"/>
    <w:rsid w:val="00AA1D8D"/>
    <w:rsid w:val="00B15EC0"/>
    <w:rsid w:val="00B47730"/>
    <w:rsid w:val="00CB0664"/>
    <w:rsid w:val="00CC36B9"/>
    <w:rsid w:val="00CD6F65"/>
    <w:rsid w:val="00D13AC9"/>
    <w:rsid w:val="00DD77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AA7E1"/>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A6193"/>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A6193"/>
    <w:rPr>
      <w:sz w:val="16"/>
      <w:szCs w:val="16"/>
    </w:rPr>
  </w:style>
  <w:style w:type="paragraph" w:styleId="CommentText">
    <w:name w:val="annotation text"/>
    <w:basedOn w:val="Normal"/>
    <w:link w:val="CommentTextChar"/>
    <w:uiPriority w:val="99"/>
    <w:semiHidden/>
    <w:unhideWhenUsed/>
    <w:rsid w:val="007A6193"/>
    <w:pPr>
      <w:spacing w:line="240" w:lineRule="auto"/>
    </w:pPr>
    <w:rPr>
      <w:sz w:val="20"/>
      <w:szCs w:val="20"/>
    </w:rPr>
  </w:style>
  <w:style w:type="character" w:customStyle="1" w:styleId="CommentTextChar">
    <w:name w:val="Comment Text Char"/>
    <w:basedOn w:val="DefaultParagraphFont"/>
    <w:link w:val="CommentText"/>
    <w:uiPriority w:val="99"/>
    <w:semiHidden/>
    <w:rsid w:val="007A6193"/>
    <w:rPr>
      <w:sz w:val="20"/>
      <w:szCs w:val="20"/>
    </w:rPr>
  </w:style>
  <w:style w:type="paragraph" w:styleId="CommentSubject">
    <w:name w:val="annotation subject"/>
    <w:basedOn w:val="CommentText"/>
    <w:next w:val="CommentText"/>
    <w:link w:val="CommentSubjectChar"/>
    <w:uiPriority w:val="99"/>
    <w:semiHidden/>
    <w:unhideWhenUsed/>
    <w:rsid w:val="007A6193"/>
    <w:rPr>
      <w:b/>
      <w:bCs/>
    </w:rPr>
  </w:style>
  <w:style w:type="character" w:customStyle="1" w:styleId="CommentSubjectChar">
    <w:name w:val="Comment Subject Char"/>
    <w:basedOn w:val="CommentTextChar"/>
    <w:link w:val="CommentSubject"/>
    <w:uiPriority w:val="99"/>
    <w:semiHidden/>
    <w:rsid w:val="007A61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2426</Words>
  <Characters>18051</Characters>
  <Application>Microsoft Office Word</Application>
  <DocSecurity>0</DocSecurity>
  <Lines>401</Lines>
  <Paragraphs>379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3</cp:revision>
  <dcterms:created xsi:type="dcterms:W3CDTF">2013-12-23T23:15:00Z</dcterms:created>
  <dcterms:modified xsi:type="dcterms:W3CDTF">2026-02-01T21:33:00Z</dcterms:modified>
  <cp:category/>
</cp:coreProperties>
</file>