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7B93" w14:textId="77777777" w:rsidR="00BB0CDB" w:rsidRDefault="00BB0CDB" w:rsidP="00BB0CDB">
      <w:pPr>
        <w:pStyle w:val="NormalWeb"/>
        <w:rPr>
          <w:color w:val="000000"/>
        </w:rPr>
      </w:pPr>
      <w:r w:rsidRPr="00BB0CDB">
        <w:rPr>
          <w:b/>
          <w:bCs/>
          <w:color w:val="000000"/>
        </w:rPr>
        <w:t>Family Wealth &amp; Estate Planning– A Clear, Strategic Approach</w:t>
      </w:r>
      <w:r>
        <w:rPr>
          <w:color w:val="000000"/>
        </w:rPr>
        <w:br/>
        <w:t>Family Wealth &amp; Estate Planning provides structured coordination to protect assets, transfer wealth intentionally, and reduce tax and compliance risk over time. When ownership, beneficiaries, and life events are not aligned, even well-intended plans can produce unintended outcomes and disputes.</w:t>
      </w:r>
      <w:r>
        <w:rPr>
          <w:rStyle w:val="apple-converted-space"/>
          <w:color w:val="000000"/>
        </w:rPr>
        <w:t> </w:t>
      </w:r>
      <w:r>
        <w:rPr>
          <w:rStyle w:val="whitespace-normal"/>
          <w:color w:val="000000"/>
        </w:rPr>
        <w:t>Quantum</w:t>
      </w:r>
      <w:r>
        <w:rPr>
          <w:color w:val="000000"/>
        </w:rPr>
        <w:t>’s advisory-led approach is governance-first and control-driven, grounded in the six pillars: Clarity, Consistency, Compliance, Communication, Control, and Comprehensiveness. The outcome is clearer ownership and transition decisions, coordinated execution, and a plan that remains current as circumstances evolve.</w:t>
      </w:r>
    </w:p>
    <w:p w14:paraId="395C6409" w14:textId="77777777" w:rsidR="00BB0CDB" w:rsidRDefault="00BB0CDB" w:rsidP="00BB0CDB">
      <w:pPr>
        <w:pStyle w:val="NormalWeb"/>
        <w:rPr>
          <w:color w:val="000000"/>
        </w:rPr>
      </w:pPr>
      <w:r w:rsidRPr="00BB0CDB">
        <w:rPr>
          <w:b/>
          <w:bCs/>
          <w:color w:val="000000"/>
        </w:rPr>
        <w:t>Discovery &amp; Family Wealth Context</w:t>
      </w:r>
      <w:r>
        <w:rPr>
          <w:color w:val="000000"/>
        </w:rPr>
        <w:br/>
        <w:t>This stage establishes the full picture behind family wealth—not just the documents. We map key assets, ownership structures, and family priorities to understand what must be protected, what outcomes matter most, and where coordination is required. The result is a clear planning foundation aligned to real family and financial dynamics.</w:t>
      </w:r>
      <w:r>
        <w:rPr>
          <w:color w:val="000000"/>
        </w:rPr>
        <w:br/>
        <w:t>Purpose</w:t>
      </w:r>
      <w:r>
        <w:rPr>
          <w:color w:val="000000"/>
        </w:rPr>
        <w:br/>
        <w:t>• Understand assets, ownership structures, and family priorities</w:t>
      </w:r>
      <w:r>
        <w:rPr>
          <w:color w:val="000000"/>
        </w:rPr>
        <w:br/>
        <w:t>• Review existing arrangements and long-term transition intent</w:t>
      </w:r>
      <w:r>
        <w:rPr>
          <w:color w:val="000000"/>
        </w:rPr>
        <w:br/>
        <w:t>• Identify key decision constraints and coordination needs</w:t>
      </w:r>
      <w:r>
        <w:rPr>
          <w:color w:val="000000"/>
        </w:rPr>
        <w:br/>
        <w:t>Why It Matters</w:t>
      </w:r>
      <w:r>
        <w:rPr>
          <w:color w:val="000000"/>
        </w:rPr>
        <w:br/>
        <w:t>• Ensures planning reflects real family and financial dynamics</w:t>
      </w:r>
      <w:r>
        <w:rPr>
          <w:color w:val="000000"/>
        </w:rPr>
        <w:br/>
        <w:t>• Reduces misalignment between intent and outcome</w:t>
      </w:r>
      <w:r>
        <w:rPr>
          <w:color w:val="000000"/>
        </w:rPr>
        <w:br/>
        <w:t>• Creates clarity on what must be protected and why</w:t>
      </w:r>
    </w:p>
    <w:p w14:paraId="28767880" w14:textId="77777777" w:rsidR="00BB0CDB" w:rsidRDefault="00BB0CDB" w:rsidP="00BB0CDB">
      <w:pPr>
        <w:pStyle w:val="NormalWeb"/>
        <w:rPr>
          <w:color w:val="000000"/>
        </w:rPr>
      </w:pPr>
      <w:r w:rsidRPr="00BB0CDB">
        <w:rPr>
          <w:b/>
          <w:bCs/>
          <w:color w:val="000000"/>
        </w:rPr>
        <w:t>Current-State Review &amp; Risk Identification</w:t>
      </w:r>
      <w:r>
        <w:rPr>
          <w:color w:val="000000"/>
        </w:rPr>
        <w:br/>
        <w:t>This stage evaluates what is currently in place and where it may fail under real-world conditions. We review existing estate and trust structures, beneficiary designations, and ownership titling to identify gaps, inconsistencies, or outdated assumptions. The outcome is a clear risk and readiness view before new strategy decisions are made.</w:t>
      </w:r>
      <w:r>
        <w:rPr>
          <w:color w:val="000000"/>
        </w:rPr>
        <w:br/>
        <w:t>Purpose</w:t>
      </w:r>
      <w:r>
        <w:rPr>
          <w:color w:val="000000"/>
        </w:rPr>
        <w:br/>
        <w:t>• Review existing estate and trust structures and beneficiary designations</w:t>
      </w:r>
      <w:r>
        <w:rPr>
          <w:color w:val="000000"/>
        </w:rPr>
        <w:br/>
        <w:t>• Assess ownership titling alignment and potential exposure areas</w:t>
      </w:r>
      <w:r>
        <w:rPr>
          <w:color w:val="000000"/>
        </w:rPr>
        <w:br/>
        <w:t>• Identify gaps, inconsistencies, and documentation risks</w:t>
      </w:r>
      <w:r>
        <w:rPr>
          <w:color w:val="000000"/>
        </w:rPr>
        <w:br/>
        <w:t>Why It Matters</w:t>
      </w:r>
      <w:r>
        <w:rPr>
          <w:color w:val="000000"/>
        </w:rPr>
        <w:br/>
        <w:t>• Prevents outdated structures from creating avoidable consequences</w:t>
      </w:r>
      <w:r>
        <w:rPr>
          <w:color w:val="000000"/>
        </w:rPr>
        <w:br/>
        <w:t>• Reduces future disputes and administrative friction</w:t>
      </w:r>
      <w:r>
        <w:rPr>
          <w:color w:val="000000"/>
        </w:rPr>
        <w:br/>
        <w:t>• Improves defensibility through clearer, organized records</w:t>
      </w:r>
    </w:p>
    <w:p w14:paraId="63F9880F" w14:textId="77777777" w:rsidR="00BB0CDB" w:rsidRDefault="00BB0CDB" w:rsidP="00BB0CDB">
      <w:pPr>
        <w:pStyle w:val="NormalWeb"/>
        <w:rPr>
          <w:color w:val="000000"/>
        </w:rPr>
      </w:pPr>
      <w:r w:rsidRPr="00BB0CDB">
        <w:rPr>
          <w:b/>
          <w:bCs/>
          <w:color w:val="000000"/>
        </w:rPr>
        <w:t>Estate &amp; Trust Strategy Design</w:t>
      </w:r>
      <w:r>
        <w:rPr>
          <w:color w:val="000000"/>
        </w:rPr>
        <w:br/>
        <w:t>This stage develops options that align wealth transfer goals with tax, control, and continuity considerations. We evaluate how ownership and control should be structured, and where gifting or exemption planning may strengthen outcomes. The result is an intentional design approach that improves predictability across generations.</w:t>
      </w:r>
      <w:r>
        <w:rPr>
          <w:color w:val="000000"/>
        </w:rPr>
        <w:br/>
        <w:t>Purpose</w:t>
      </w:r>
      <w:r>
        <w:rPr>
          <w:color w:val="000000"/>
        </w:rPr>
        <w:br/>
        <w:t>• Develop strategy options aligned with family objectives and tax considerations</w:t>
      </w:r>
      <w:r>
        <w:rPr>
          <w:color w:val="000000"/>
        </w:rPr>
        <w:br/>
        <w:t>• Evaluate gifting and exemption planning approaches where relevant</w:t>
      </w:r>
      <w:r>
        <w:rPr>
          <w:color w:val="000000"/>
        </w:rPr>
        <w:br/>
      </w:r>
      <w:r>
        <w:rPr>
          <w:color w:val="000000"/>
        </w:rPr>
        <w:lastRenderedPageBreak/>
        <w:t>• Define ownership and control choices that support continuity</w:t>
      </w:r>
      <w:r>
        <w:rPr>
          <w:color w:val="000000"/>
        </w:rPr>
        <w:br/>
        <w:t>Why It Matters</w:t>
      </w:r>
      <w:r>
        <w:rPr>
          <w:color w:val="000000"/>
        </w:rPr>
        <w:br/>
        <w:t>• Protects wealth across transitions with intentional design</w:t>
      </w:r>
      <w:r>
        <w:rPr>
          <w:color w:val="000000"/>
        </w:rPr>
        <w:br/>
        <w:t>• Reduces structural inefficiencies and tax leakage</w:t>
      </w:r>
      <w:r>
        <w:rPr>
          <w:color w:val="000000"/>
        </w:rPr>
        <w:br/>
        <w:t>• Improves predictability of outcomes for future generations</w:t>
      </w:r>
    </w:p>
    <w:p w14:paraId="76E5A52D" w14:textId="77777777" w:rsidR="00BB0CDB" w:rsidRDefault="00BB0CDB" w:rsidP="00BB0CDB">
      <w:pPr>
        <w:pStyle w:val="NormalWeb"/>
        <w:rPr>
          <w:color w:val="000000"/>
        </w:rPr>
      </w:pPr>
      <w:r w:rsidRPr="00BB0CDB">
        <w:rPr>
          <w:b/>
          <w:bCs/>
          <w:color w:val="000000"/>
        </w:rPr>
        <w:t>Wealth Transition &amp; Life Event Planning</w:t>
      </w:r>
      <w:r>
        <w:rPr>
          <w:color w:val="000000"/>
        </w:rPr>
        <w:br/>
        <w:t>This stage ensures the plan holds up through change—business events, family changes, and liquidity needs. We assess the implications of major events on succession, ownership, and distribution decisions, and define checkpoints to keep decisions current over time. The outcome is smoother transitions with fewer rushed decisions under pressure.</w:t>
      </w:r>
      <w:r>
        <w:rPr>
          <w:color w:val="000000"/>
        </w:rPr>
        <w:br/>
        <w:t>Purpose</w:t>
      </w:r>
      <w:r>
        <w:rPr>
          <w:color w:val="000000"/>
        </w:rPr>
        <w:br/>
        <w:t>• Assess transition implications tied to major life and business events</w:t>
      </w:r>
      <w:r>
        <w:rPr>
          <w:color w:val="000000"/>
        </w:rPr>
        <w:br/>
        <w:t>• Plan for succession, ownership changes, and liquidity needs</w:t>
      </w:r>
      <w:r>
        <w:rPr>
          <w:color w:val="000000"/>
        </w:rPr>
        <w:br/>
        <w:t>• Define decision checkpoints to keep planning current</w:t>
      </w:r>
      <w:r>
        <w:rPr>
          <w:color w:val="000000"/>
        </w:rPr>
        <w:br/>
        <w:t>Why It Matters</w:t>
      </w:r>
      <w:r>
        <w:rPr>
          <w:color w:val="000000"/>
        </w:rPr>
        <w:br/>
        <w:t>• Prevents rushed decisions during high-impact events</w:t>
      </w:r>
      <w:r>
        <w:rPr>
          <w:color w:val="000000"/>
        </w:rPr>
        <w:br/>
        <w:t>• Improves continuity and reduces disruption</w:t>
      </w:r>
      <w:r>
        <w:rPr>
          <w:color w:val="000000"/>
        </w:rPr>
        <w:br/>
        <w:t>• Strengthens control over long-term outcomes</w:t>
      </w:r>
    </w:p>
    <w:p w14:paraId="62FEA79B" w14:textId="77777777" w:rsidR="00BB0CDB" w:rsidRDefault="00BB0CDB" w:rsidP="00BB0CDB">
      <w:pPr>
        <w:pStyle w:val="NormalWeb"/>
        <w:rPr>
          <w:color w:val="000000"/>
        </w:rPr>
      </w:pPr>
      <w:r w:rsidRPr="00BB0CDB">
        <w:rPr>
          <w:b/>
          <w:bCs/>
          <w:color w:val="000000"/>
        </w:rPr>
        <w:t>Coordination &amp; Implementation Support</w:t>
      </w:r>
      <w:r>
        <w:rPr>
          <w:color w:val="000000"/>
        </w:rPr>
        <w:br/>
        <w:t>This stage turns strategy into controlled execution across documents, records, and advisors. We translate decisions into clear action steps, coordinate alignment between tax planning, legal documentation, and financial administration, and validate consistency across key records. The result is reduced execution risk and stronger confidence that the plan operates as intended.</w:t>
      </w:r>
      <w:r>
        <w:rPr>
          <w:color w:val="000000"/>
        </w:rPr>
        <w:br/>
        <w:t>Purpose</w:t>
      </w:r>
      <w:r>
        <w:rPr>
          <w:color w:val="000000"/>
        </w:rPr>
        <w:br/>
        <w:t>• Translate strategy into clear action steps and required documentation</w:t>
      </w:r>
      <w:r>
        <w:rPr>
          <w:color w:val="000000"/>
        </w:rPr>
        <w:br/>
        <w:t>• Coordinate alignment between tax planning, legal documentation, and financial administration</w:t>
      </w:r>
      <w:r>
        <w:rPr>
          <w:color w:val="000000"/>
        </w:rPr>
        <w:br/>
        <w:t>• Validate consistency across key records and design choices</w:t>
      </w:r>
      <w:r>
        <w:rPr>
          <w:color w:val="000000"/>
        </w:rPr>
        <w:br/>
        <w:t>Why It Matters</w:t>
      </w:r>
      <w:r>
        <w:rPr>
          <w:color w:val="000000"/>
        </w:rPr>
        <w:br/>
        <w:t>• Reduces execution risk caused by poor coordination</w:t>
      </w:r>
      <w:r>
        <w:rPr>
          <w:color w:val="000000"/>
        </w:rPr>
        <w:br/>
        <w:t>• Improves compliance and documentation completeness</w:t>
      </w:r>
      <w:r>
        <w:rPr>
          <w:color w:val="000000"/>
        </w:rPr>
        <w:br/>
        <w:t>• Strengthens confidence that the plan operates as intended</w:t>
      </w:r>
    </w:p>
    <w:p w14:paraId="5E70D3AD" w14:textId="7A4FD1A6" w:rsidR="00BB0CDB" w:rsidRDefault="00BB0CDB" w:rsidP="00BB0CDB">
      <w:pPr>
        <w:pStyle w:val="NormalWeb"/>
        <w:rPr>
          <w:color w:val="000000"/>
        </w:rPr>
      </w:pPr>
      <w:r w:rsidRPr="00BB0CDB">
        <w:rPr>
          <w:b/>
          <w:bCs/>
          <w:color w:val="000000"/>
        </w:rPr>
        <w:t>Ongoing Review &amp; Adjustments</w:t>
      </w:r>
      <w:r>
        <w:rPr>
          <w:color w:val="000000"/>
        </w:rPr>
        <w:br/>
        <w:t>This stage keeps the plan current as laws change, assets evolve, and family circumstances shift. We update assumptions and documentation after major events and maintain organized records for future reference. The outcome is reduced drift and continued alignment with long-term intent.</w:t>
      </w:r>
      <w:r>
        <w:rPr>
          <w:color w:val="000000"/>
        </w:rPr>
        <w:br/>
        <w:t>Purpose</w:t>
      </w:r>
      <w:r>
        <w:rPr>
          <w:color w:val="000000"/>
        </w:rPr>
        <w:br/>
        <w:t>• Revisit the plan as laws, assets, or family circumstances change</w:t>
      </w:r>
      <w:r>
        <w:rPr>
          <w:color w:val="000000"/>
        </w:rPr>
        <w:br/>
        <w:t>• Update assumptions and documentation following major events</w:t>
      </w:r>
      <w:r>
        <w:rPr>
          <w:color w:val="000000"/>
        </w:rPr>
        <w:br/>
        <w:t>• Maintain an organized record set for future reference</w:t>
      </w:r>
      <w:r>
        <w:rPr>
          <w:color w:val="000000"/>
        </w:rPr>
        <w:br/>
      </w:r>
      <w:r>
        <w:rPr>
          <w:color w:val="000000"/>
        </w:rPr>
        <w:lastRenderedPageBreak/>
        <w:t>Why It Matters</w:t>
      </w:r>
      <w:r>
        <w:rPr>
          <w:color w:val="000000"/>
        </w:rPr>
        <w:br/>
        <w:t>• Keeps the plan effective and compliant over time</w:t>
      </w:r>
      <w:r>
        <w:rPr>
          <w:color w:val="000000"/>
        </w:rPr>
        <w:br/>
        <w:t>• Reduces long-term drift and unintended outcomes</w:t>
      </w:r>
      <w:r>
        <w:rPr>
          <w:color w:val="000000"/>
        </w:rPr>
        <w:br/>
        <w:t>• Improves readiness for future transitions</w:t>
      </w:r>
    </w:p>
    <w:p w14:paraId="0C5FA5AE" w14:textId="2F2A63E8" w:rsidR="00971951" w:rsidRPr="00BB0CDB" w:rsidRDefault="00971951" w:rsidP="00BB0CDB"/>
    <w:sectPr w:rsidR="00971951" w:rsidRPr="00BB0C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20F37A"/>
    <w:lvl w:ilvl="0">
      <w:start w:val="1"/>
      <w:numFmt w:val="bullet"/>
      <w:pStyle w:val="ListBullet"/>
      <w:lvlText w:val=""/>
      <w:lvlJc w:val="left"/>
      <w:pPr>
        <w:tabs>
          <w:tab w:val="num" w:pos="360"/>
        </w:tabs>
        <w:ind w:left="360" w:hanging="360"/>
      </w:pPr>
      <w:rPr>
        <w:rFonts w:ascii="Symbol" w:hAnsi="Symbol" w:hint="default"/>
      </w:rPr>
    </w:lvl>
  </w:abstractNum>
  <w:num w:numId="1" w16cid:durableId="160048613">
    <w:abstractNumId w:val="8"/>
  </w:num>
  <w:num w:numId="2" w16cid:durableId="760418136">
    <w:abstractNumId w:val="6"/>
  </w:num>
  <w:num w:numId="3" w16cid:durableId="1579710807">
    <w:abstractNumId w:val="5"/>
  </w:num>
  <w:num w:numId="4" w16cid:durableId="386684301">
    <w:abstractNumId w:val="4"/>
  </w:num>
  <w:num w:numId="5" w16cid:durableId="715158523">
    <w:abstractNumId w:val="7"/>
  </w:num>
  <w:num w:numId="6" w16cid:durableId="2135976221">
    <w:abstractNumId w:val="3"/>
  </w:num>
  <w:num w:numId="7" w16cid:durableId="1653100489">
    <w:abstractNumId w:val="2"/>
  </w:num>
  <w:num w:numId="8" w16cid:durableId="1285311026">
    <w:abstractNumId w:val="1"/>
  </w:num>
  <w:num w:numId="9" w16cid:durableId="66848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1951"/>
    <w:rsid w:val="00AA1D8D"/>
    <w:rsid w:val="00B47730"/>
    <w:rsid w:val="00BB0CDB"/>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8928E"/>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B0C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B0CDB"/>
  </w:style>
  <w:style w:type="character" w:customStyle="1" w:styleId="whitespace-normal">
    <w:name w:val="whitespace-normal"/>
    <w:basedOn w:val="DefaultParagraphFont"/>
    <w:rsid w:val="00BB0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665</Words>
  <Characters>4559</Characters>
  <Application>Microsoft Office Word</Application>
  <DocSecurity>0</DocSecurity>
  <Lines>106</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2026-02-01T20:14:00Z</dcterms:modified>
  <cp:category/>
</cp:coreProperties>
</file>