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8E81" w14:textId="77777777" w:rsidR="00826522" w:rsidRDefault="00826522" w:rsidP="00826522">
      <w:pPr>
        <w:pStyle w:val="Heading2"/>
        <w:rPr>
          <w:color w:val="000000"/>
        </w:rPr>
      </w:pPr>
      <w:r>
        <w:rPr>
          <w:color w:val="000000"/>
        </w:rPr>
        <w:t>Law Firm Accounting Services</w:t>
      </w:r>
    </w:p>
    <w:p w14:paraId="309EC022" w14:textId="77777777" w:rsidR="00826522" w:rsidRDefault="00826522" w:rsidP="00826522">
      <w:pPr>
        <w:pStyle w:val="Heading3"/>
        <w:rPr>
          <w:color w:val="000000"/>
        </w:rPr>
      </w:pPr>
      <w:r>
        <w:rPr>
          <w:color w:val="000000"/>
        </w:rPr>
        <w:t>Service Summary (3–5 Sentences)</w:t>
      </w:r>
    </w:p>
    <w:p w14:paraId="553DA6F3" w14:textId="77777777" w:rsidR="00826522" w:rsidRDefault="00826522" w:rsidP="00826522">
      <w:pPr>
        <w:pStyle w:val="NormalWeb"/>
        <w:rPr>
          <w:color w:val="000000"/>
        </w:rPr>
      </w:pPr>
      <w:r>
        <w:rPr>
          <w:color w:val="000000"/>
        </w:rPr>
        <w:t>Law Firm Accounting Services provides industry-aware accounting, tax, and reporting discipline designed to improve margin visibility, cash control, and compliance reliability. Law firms often face operational complexity that creates reporting delays, weak controls, and limited decision confidence when financial processes are not structured. Quantum delivers a governance-first, control-driven approach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daily activity into consistent, audit-ready reporting. The outcome is clearer profitability insight, stronger operational control, and stakeholder-ready financial credibility.</w:t>
      </w:r>
    </w:p>
    <w:p w14:paraId="393AA6DF" w14:textId="77777777" w:rsidR="00826522" w:rsidRDefault="00DD4C18" w:rsidP="00826522">
      <w:r>
        <w:rPr>
          <w:noProof/>
        </w:rPr>
        <w:pict w14:anchorId="4527EF38">
          <v:rect id="_x0000_i1031" alt="" style="width:431.95pt;height:.05pt;mso-width-percent:0;mso-height-percent:0;mso-width-percent:0;mso-height-percent:0" o:hrpct="923" o:hralign="center" o:hrstd="t" o:hr="t" fillcolor="#a0a0a0" stroked="f"/>
        </w:pict>
      </w:r>
    </w:p>
    <w:p w14:paraId="1A2096C0" w14:textId="77777777" w:rsidR="00826522" w:rsidRDefault="00826522" w:rsidP="00826522">
      <w:pPr>
        <w:pStyle w:val="Heading3"/>
        <w:rPr>
          <w:color w:val="000000"/>
        </w:rPr>
      </w:pPr>
      <w:r>
        <w:rPr>
          <w:color w:val="000000"/>
        </w:rPr>
        <w:t>Operating &amp; Financial Discovery</w:t>
      </w:r>
    </w:p>
    <w:p w14:paraId="6F440024" w14:textId="77777777" w:rsidR="00826522" w:rsidRDefault="00826522" w:rsidP="00826522">
      <w:pPr>
        <w:pStyle w:val="NormalWeb"/>
        <w:rPr>
          <w:color w:val="000000"/>
        </w:rPr>
      </w:pPr>
      <w:r>
        <w:rPr>
          <w:color w:val="000000"/>
        </w:rPr>
        <w:t>This phase maps how revenue is generated and realized across matters—time capture, billing, collections, retainers, and write-offs—so profitability drivers are visible rather than assumed. It also identifies operational handoffs and exception patterns (adjustments, reimbursements, trust activity) that typically create reporting noise and control breakdowns.</w:t>
      </w:r>
      <w:r>
        <w:rPr>
          <w:color w:val="000000"/>
        </w:rPr>
        <w:br/>
      </w:r>
      <w:r>
        <w:rPr>
          <w:rStyle w:val="Strong"/>
          <w:rFonts w:eastAsiaTheme="majorEastAsia"/>
          <w:color w:val="000000"/>
        </w:rPr>
        <w:t>Purpose</w:t>
      </w:r>
    </w:p>
    <w:p w14:paraId="1EC64E5B" w14:textId="77777777" w:rsidR="00826522" w:rsidRDefault="00826522" w:rsidP="00826522">
      <w:pPr>
        <w:pStyle w:val="NormalWeb"/>
        <w:numPr>
          <w:ilvl w:val="0"/>
          <w:numId w:val="10"/>
        </w:numPr>
        <w:rPr>
          <w:color w:val="000000"/>
        </w:rPr>
      </w:pPr>
      <w:r>
        <w:rPr>
          <w:color w:val="000000"/>
        </w:rPr>
        <w:t>Understand the operating model, revenue drivers, cost structure, and reporting needs</w:t>
      </w:r>
    </w:p>
    <w:p w14:paraId="38B8B47A" w14:textId="77777777" w:rsidR="00826522" w:rsidRDefault="00826522" w:rsidP="00826522">
      <w:pPr>
        <w:pStyle w:val="NormalWeb"/>
        <w:numPr>
          <w:ilvl w:val="0"/>
          <w:numId w:val="10"/>
        </w:numPr>
        <w:rPr>
          <w:color w:val="000000"/>
        </w:rPr>
      </w:pPr>
      <w:r>
        <w:rPr>
          <w:color w:val="000000"/>
        </w:rPr>
        <w:t>Identify key risk areas, control gaps, and data sources that impact accuracy</w:t>
      </w:r>
    </w:p>
    <w:p w14:paraId="20F087BC" w14:textId="77777777" w:rsidR="00826522" w:rsidRDefault="00826522" w:rsidP="00826522">
      <w:pPr>
        <w:pStyle w:val="NormalWeb"/>
        <w:numPr>
          <w:ilvl w:val="0"/>
          <w:numId w:val="10"/>
        </w:numPr>
        <w:rPr>
          <w:color w:val="000000"/>
        </w:rPr>
      </w:pPr>
      <w:r>
        <w:rPr>
          <w:color w:val="000000"/>
        </w:rPr>
        <w:t>Define scope, cadence, and responsibilities for consistent execution</w:t>
      </w:r>
    </w:p>
    <w:p w14:paraId="469401DA" w14:textId="77777777" w:rsidR="00826522" w:rsidRDefault="00826522" w:rsidP="00826522">
      <w:pPr>
        <w:pStyle w:val="NormalWeb"/>
        <w:rPr>
          <w:color w:val="000000"/>
        </w:rPr>
      </w:pPr>
      <w:r>
        <w:rPr>
          <w:rStyle w:val="Strong"/>
          <w:rFonts w:eastAsiaTheme="majorEastAsia"/>
          <w:color w:val="000000"/>
        </w:rPr>
        <w:t>Why It Matters</w:t>
      </w:r>
    </w:p>
    <w:p w14:paraId="3717D7C5" w14:textId="77777777" w:rsidR="00826522" w:rsidRDefault="00826522" w:rsidP="00826522">
      <w:pPr>
        <w:pStyle w:val="NormalWeb"/>
        <w:numPr>
          <w:ilvl w:val="0"/>
          <w:numId w:val="11"/>
        </w:numPr>
        <w:rPr>
          <w:color w:val="000000"/>
        </w:rPr>
      </w:pPr>
      <w:r>
        <w:rPr>
          <w:color w:val="000000"/>
        </w:rPr>
        <w:t>Improves clarity and reduces misalignment early</w:t>
      </w:r>
    </w:p>
    <w:p w14:paraId="28BD76A9" w14:textId="77777777" w:rsidR="00826522" w:rsidRDefault="00826522" w:rsidP="00826522">
      <w:pPr>
        <w:pStyle w:val="NormalWeb"/>
        <w:numPr>
          <w:ilvl w:val="0"/>
          <w:numId w:val="11"/>
        </w:numPr>
        <w:rPr>
          <w:color w:val="000000"/>
        </w:rPr>
      </w:pPr>
      <w:r>
        <w:rPr>
          <w:color w:val="000000"/>
        </w:rPr>
        <w:t>Prevents recurring errors caused by incomplete context</w:t>
      </w:r>
    </w:p>
    <w:p w14:paraId="077DFFEC" w14:textId="77777777" w:rsidR="00826522" w:rsidRDefault="00826522" w:rsidP="00826522">
      <w:pPr>
        <w:pStyle w:val="NormalWeb"/>
        <w:numPr>
          <w:ilvl w:val="0"/>
          <w:numId w:val="11"/>
        </w:numPr>
        <w:rPr>
          <w:color w:val="000000"/>
        </w:rPr>
      </w:pPr>
      <w:r>
        <w:rPr>
          <w:color w:val="000000"/>
        </w:rPr>
        <w:t>Creates a controlled foundation for reliable reporting</w:t>
      </w:r>
    </w:p>
    <w:p w14:paraId="07CFC200" w14:textId="77777777" w:rsidR="00826522" w:rsidRDefault="00826522" w:rsidP="00826522">
      <w:r>
        <w:pict w14:anchorId="35E493BB">
          <v:rect id="_x0000_i1026" style="width:0;height:1.5pt" o:hralign="center" o:hrstd="t" o:hr="t" fillcolor="#a0a0a0" stroked="f"/>
        </w:pict>
      </w:r>
    </w:p>
    <w:p w14:paraId="4852357E" w14:textId="77777777" w:rsidR="00826522" w:rsidRDefault="00826522" w:rsidP="00826522">
      <w:pPr>
        <w:pStyle w:val="Heading3"/>
        <w:rPr>
          <w:color w:val="000000"/>
        </w:rPr>
      </w:pPr>
      <w:r>
        <w:rPr>
          <w:color w:val="000000"/>
        </w:rPr>
        <w:t>Accounting Framework &amp; Reporting Structure</w:t>
      </w:r>
    </w:p>
    <w:p w14:paraId="14DB0528" w14:textId="77777777" w:rsidR="00826522" w:rsidRDefault="00826522" w:rsidP="00826522">
      <w:pPr>
        <w:pStyle w:val="NormalWeb"/>
        <w:rPr>
          <w:color w:val="000000"/>
        </w:rPr>
      </w:pPr>
      <w:r>
        <w:rPr>
          <w:color w:val="000000"/>
        </w:rPr>
        <w:t>This phase establishes accounting definitions that reflect how legal services operate, including how matter costs, reimbursements, and practice-level overhead should be interpreted in reporting. It also enables consistent matter and practice visibility by designing a structure that supports reporting without constant manual reclassification.</w:t>
      </w:r>
      <w:r>
        <w:rPr>
          <w:color w:val="000000"/>
        </w:rPr>
        <w:br/>
      </w:r>
      <w:r>
        <w:rPr>
          <w:rStyle w:val="Strong"/>
          <w:rFonts w:eastAsiaTheme="majorEastAsia"/>
          <w:color w:val="000000"/>
        </w:rPr>
        <w:t>Purpose</w:t>
      </w:r>
    </w:p>
    <w:p w14:paraId="316195F7" w14:textId="77777777" w:rsidR="00826522" w:rsidRDefault="00826522" w:rsidP="00826522">
      <w:pPr>
        <w:pStyle w:val="NormalWeb"/>
        <w:numPr>
          <w:ilvl w:val="0"/>
          <w:numId w:val="12"/>
        </w:numPr>
        <w:rPr>
          <w:color w:val="000000"/>
        </w:rPr>
      </w:pPr>
      <w:r>
        <w:rPr>
          <w:color w:val="000000"/>
        </w:rPr>
        <w:t>Design or refine the chart of accounts and reporting structure to match operations</w:t>
      </w:r>
    </w:p>
    <w:p w14:paraId="07C2F4AF" w14:textId="77777777" w:rsidR="00826522" w:rsidRDefault="00826522" w:rsidP="00826522">
      <w:pPr>
        <w:pStyle w:val="NormalWeb"/>
        <w:numPr>
          <w:ilvl w:val="0"/>
          <w:numId w:val="12"/>
        </w:numPr>
        <w:rPr>
          <w:color w:val="000000"/>
        </w:rPr>
      </w:pPr>
      <w:r>
        <w:rPr>
          <w:color w:val="000000"/>
        </w:rPr>
        <w:lastRenderedPageBreak/>
        <w:t>Define classification rules and documentation standards for consistency</w:t>
      </w:r>
    </w:p>
    <w:p w14:paraId="5D3189C8" w14:textId="77777777" w:rsidR="00826522" w:rsidRDefault="00826522" w:rsidP="00826522">
      <w:pPr>
        <w:pStyle w:val="NormalWeb"/>
        <w:numPr>
          <w:ilvl w:val="0"/>
          <w:numId w:val="12"/>
        </w:numPr>
        <w:rPr>
          <w:color w:val="000000"/>
        </w:rPr>
      </w:pPr>
      <w:r>
        <w:rPr>
          <w:color w:val="000000"/>
        </w:rPr>
        <w:t>Align structure to support scale and stakeholder expectations</w:t>
      </w:r>
    </w:p>
    <w:p w14:paraId="507F9DF0" w14:textId="77777777" w:rsidR="00826522" w:rsidRDefault="00826522" w:rsidP="00826522">
      <w:pPr>
        <w:pStyle w:val="NormalWeb"/>
        <w:rPr>
          <w:color w:val="000000"/>
        </w:rPr>
      </w:pPr>
      <w:r>
        <w:rPr>
          <w:rStyle w:val="Strong"/>
          <w:rFonts w:eastAsiaTheme="majorEastAsia"/>
          <w:color w:val="000000"/>
        </w:rPr>
        <w:t>Why It Matters</w:t>
      </w:r>
    </w:p>
    <w:p w14:paraId="4ADAE9B0" w14:textId="77777777" w:rsidR="00826522" w:rsidRDefault="00826522" w:rsidP="00826522">
      <w:pPr>
        <w:pStyle w:val="NormalWeb"/>
        <w:numPr>
          <w:ilvl w:val="0"/>
          <w:numId w:val="13"/>
        </w:numPr>
        <w:rPr>
          <w:color w:val="000000"/>
        </w:rPr>
      </w:pPr>
      <w:r>
        <w:rPr>
          <w:color w:val="000000"/>
        </w:rPr>
        <w:t>Improves usefulness and comparability of financial statements</w:t>
      </w:r>
    </w:p>
    <w:p w14:paraId="4B43D52F" w14:textId="77777777" w:rsidR="00826522" w:rsidRDefault="00826522" w:rsidP="00826522">
      <w:pPr>
        <w:pStyle w:val="NormalWeb"/>
        <w:numPr>
          <w:ilvl w:val="0"/>
          <w:numId w:val="13"/>
        </w:numPr>
        <w:rPr>
          <w:color w:val="000000"/>
        </w:rPr>
      </w:pPr>
      <w:r>
        <w:rPr>
          <w:color w:val="000000"/>
        </w:rPr>
        <w:t>Reduces rework during tax and assurance cycles</w:t>
      </w:r>
    </w:p>
    <w:p w14:paraId="04565A86" w14:textId="77777777" w:rsidR="00826522" w:rsidRDefault="00826522" w:rsidP="00826522">
      <w:pPr>
        <w:pStyle w:val="NormalWeb"/>
        <w:numPr>
          <w:ilvl w:val="0"/>
          <w:numId w:val="13"/>
        </w:numPr>
        <w:rPr>
          <w:color w:val="000000"/>
        </w:rPr>
      </w:pPr>
      <w:r>
        <w:rPr>
          <w:color w:val="000000"/>
        </w:rPr>
        <w:t>Strengthens control over how performance is measured</w:t>
      </w:r>
    </w:p>
    <w:p w14:paraId="7FDB701D" w14:textId="77777777" w:rsidR="00826522" w:rsidRDefault="00826522" w:rsidP="00826522">
      <w:r>
        <w:pict w14:anchorId="1D043218">
          <v:rect id="_x0000_i1027" style="width:0;height:1.5pt" o:hralign="center" o:hrstd="t" o:hr="t" fillcolor="#a0a0a0" stroked="f"/>
        </w:pict>
      </w:r>
    </w:p>
    <w:p w14:paraId="2068F389" w14:textId="77777777" w:rsidR="00826522" w:rsidRDefault="00826522" w:rsidP="00826522">
      <w:pPr>
        <w:pStyle w:val="Heading3"/>
        <w:rPr>
          <w:color w:val="000000"/>
        </w:rPr>
      </w:pPr>
      <w:r>
        <w:rPr>
          <w:color w:val="000000"/>
        </w:rPr>
        <w:t>Bookkeeping, Reconciliation &amp; Close Discipline</w:t>
      </w:r>
    </w:p>
    <w:p w14:paraId="755390EE" w14:textId="77777777" w:rsidR="00826522" w:rsidRDefault="00826522" w:rsidP="00826522">
      <w:pPr>
        <w:pStyle w:val="NormalWeb"/>
        <w:rPr>
          <w:color w:val="000000"/>
        </w:rPr>
      </w:pPr>
      <w:r>
        <w:rPr>
          <w:color w:val="000000"/>
        </w:rPr>
        <w:t>This phase enforces a stable close rhythm that keeps receivables, retainers, and cash activity synchronized with the ledger so results remain explainable under scrutiny. It also creates discipline around adjustments and exceptions so accuracy is maintained without relying on informal tribal knowledge.</w:t>
      </w:r>
      <w:r>
        <w:rPr>
          <w:color w:val="000000"/>
        </w:rPr>
        <w:br/>
      </w:r>
      <w:r>
        <w:rPr>
          <w:rStyle w:val="Strong"/>
          <w:rFonts w:eastAsiaTheme="majorEastAsia"/>
          <w:color w:val="000000"/>
        </w:rPr>
        <w:t>Purpose</w:t>
      </w:r>
    </w:p>
    <w:p w14:paraId="21EBE336" w14:textId="77777777" w:rsidR="00826522" w:rsidRDefault="00826522" w:rsidP="00826522">
      <w:pPr>
        <w:pStyle w:val="NormalWeb"/>
        <w:numPr>
          <w:ilvl w:val="0"/>
          <w:numId w:val="14"/>
        </w:numPr>
        <w:rPr>
          <w:color w:val="000000"/>
        </w:rPr>
      </w:pPr>
      <w:r>
        <w:rPr>
          <w:color w:val="000000"/>
        </w:rPr>
        <w:t>Process transactions using standardized rules and review checks</w:t>
      </w:r>
    </w:p>
    <w:p w14:paraId="717865E8" w14:textId="77777777" w:rsidR="00826522" w:rsidRDefault="00826522" w:rsidP="00826522">
      <w:pPr>
        <w:pStyle w:val="NormalWeb"/>
        <w:numPr>
          <w:ilvl w:val="0"/>
          <w:numId w:val="14"/>
        </w:numPr>
        <w:rPr>
          <w:color w:val="000000"/>
        </w:rPr>
      </w:pPr>
      <w:r>
        <w:rPr>
          <w:color w:val="000000"/>
        </w:rPr>
        <w:t>Reconcile key accounts and investigate exceptions each cycle</w:t>
      </w:r>
    </w:p>
    <w:p w14:paraId="32EA6693" w14:textId="77777777" w:rsidR="00826522" w:rsidRDefault="00826522" w:rsidP="00826522">
      <w:pPr>
        <w:pStyle w:val="NormalWeb"/>
        <w:numPr>
          <w:ilvl w:val="0"/>
          <w:numId w:val="14"/>
        </w:numPr>
        <w:rPr>
          <w:color w:val="000000"/>
        </w:rPr>
      </w:pPr>
      <w:r>
        <w:rPr>
          <w:color w:val="000000"/>
        </w:rPr>
        <w:t>Maintain close checklists and documentation for traceability</w:t>
      </w:r>
    </w:p>
    <w:p w14:paraId="656DE174" w14:textId="77777777" w:rsidR="00826522" w:rsidRDefault="00826522" w:rsidP="00826522">
      <w:pPr>
        <w:pStyle w:val="NormalWeb"/>
        <w:rPr>
          <w:color w:val="000000"/>
        </w:rPr>
      </w:pPr>
      <w:r>
        <w:rPr>
          <w:rStyle w:val="Strong"/>
          <w:rFonts w:eastAsiaTheme="majorEastAsia"/>
          <w:color w:val="000000"/>
        </w:rPr>
        <w:t>Why It Matters</w:t>
      </w:r>
    </w:p>
    <w:p w14:paraId="436F06FE" w14:textId="77777777" w:rsidR="00826522" w:rsidRDefault="00826522" w:rsidP="00826522">
      <w:pPr>
        <w:pStyle w:val="NormalWeb"/>
        <w:numPr>
          <w:ilvl w:val="0"/>
          <w:numId w:val="15"/>
        </w:numPr>
        <w:rPr>
          <w:color w:val="000000"/>
        </w:rPr>
      </w:pPr>
      <w:r>
        <w:rPr>
          <w:color w:val="000000"/>
        </w:rPr>
        <w:t>Improves accuracy and completeness of financials</w:t>
      </w:r>
    </w:p>
    <w:p w14:paraId="156C0EAD" w14:textId="77777777" w:rsidR="00826522" w:rsidRDefault="00826522" w:rsidP="00826522">
      <w:pPr>
        <w:pStyle w:val="NormalWeb"/>
        <w:numPr>
          <w:ilvl w:val="0"/>
          <w:numId w:val="15"/>
        </w:numPr>
        <w:rPr>
          <w:color w:val="000000"/>
        </w:rPr>
      </w:pPr>
      <w:r>
        <w:rPr>
          <w:color w:val="000000"/>
        </w:rPr>
        <w:t>Detects issues early and reduces downstream disruption</w:t>
      </w:r>
    </w:p>
    <w:p w14:paraId="6D7BB280" w14:textId="77777777" w:rsidR="00826522" w:rsidRDefault="00826522" w:rsidP="00826522">
      <w:pPr>
        <w:pStyle w:val="NormalWeb"/>
        <w:numPr>
          <w:ilvl w:val="0"/>
          <w:numId w:val="15"/>
        </w:numPr>
        <w:rPr>
          <w:color w:val="000000"/>
        </w:rPr>
      </w:pPr>
      <w:r>
        <w:rPr>
          <w:color w:val="000000"/>
        </w:rPr>
        <w:t>Strengthens audit defensibility through a clear trail</w:t>
      </w:r>
    </w:p>
    <w:p w14:paraId="3D7BC66C" w14:textId="77777777" w:rsidR="00826522" w:rsidRDefault="00826522" w:rsidP="00826522">
      <w:pPr>
        <w:pStyle w:val="NormalWeb"/>
        <w:rPr>
          <w:color w:val="000000"/>
        </w:rPr>
      </w:pPr>
      <w:r>
        <w:rPr>
          <w:rStyle w:val="Strong"/>
          <w:rFonts w:eastAsiaTheme="majorEastAsia"/>
          <w:color w:val="000000"/>
        </w:rPr>
        <w:t>Optional Framework Reference</w:t>
      </w:r>
    </w:p>
    <w:p w14:paraId="5077E2B1" w14:textId="77777777" w:rsidR="00826522" w:rsidRDefault="00826522" w:rsidP="00826522">
      <w:pPr>
        <w:pStyle w:val="NormalWeb"/>
        <w:numPr>
          <w:ilvl w:val="0"/>
          <w:numId w:val="16"/>
        </w:numPr>
        <w:rPr>
          <w:color w:val="000000"/>
        </w:rPr>
      </w:pPr>
      <w:r>
        <w:rPr>
          <w:color w:val="000000"/>
        </w:rPr>
        <w:t>COSO-aligned control discipline to reinforce reliable close and reconciliation practices</w:t>
      </w:r>
    </w:p>
    <w:p w14:paraId="224088C1" w14:textId="77777777" w:rsidR="00826522" w:rsidRDefault="00826522" w:rsidP="00826522">
      <w:r>
        <w:pict w14:anchorId="45028F4C">
          <v:rect id="_x0000_i1028" style="width:0;height:1.5pt" o:hralign="center" o:hrstd="t" o:hr="t" fillcolor="#a0a0a0" stroked="f"/>
        </w:pict>
      </w:r>
    </w:p>
    <w:p w14:paraId="20CB0F89" w14:textId="77777777" w:rsidR="00826522" w:rsidRDefault="00826522" w:rsidP="00826522">
      <w:pPr>
        <w:pStyle w:val="Heading3"/>
        <w:rPr>
          <w:color w:val="000000"/>
        </w:rPr>
      </w:pPr>
      <w:r>
        <w:rPr>
          <w:color w:val="000000"/>
        </w:rPr>
        <w:t>Industry-Driven Performance Reporting</w:t>
      </w:r>
    </w:p>
    <w:p w14:paraId="291FAFD2" w14:textId="77777777" w:rsidR="00826522" w:rsidRDefault="00826522" w:rsidP="00826522">
      <w:pPr>
        <w:pStyle w:val="NormalWeb"/>
        <w:rPr>
          <w:color w:val="000000"/>
        </w:rPr>
      </w:pPr>
      <w:r>
        <w:rPr>
          <w:color w:val="000000"/>
        </w:rPr>
        <w:t>This phase turns accounting outputs into legal-business signals such as matter profitability, practice contribution trends, realization effects, and cash timing—so performance can be interpreted with consistency. It also stabilizes KPI definitions so comparisons remain meaningful even as staffing models, rates, and collections behavior change.</w:t>
      </w:r>
      <w:r>
        <w:rPr>
          <w:color w:val="000000"/>
        </w:rPr>
        <w:br/>
      </w:r>
      <w:r>
        <w:rPr>
          <w:rStyle w:val="Strong"/>
          <w:rFonts w:eastAsiaTheme="majorEastAsia"/>
          <w:color w:val="000000"/>
        </w:rPr>
        <w:t>Purpose</w:t>
      </w:r>
    </w:p>
    <w:p w14:paraId="3FA8D5D8" w14:textId="77777777" w:rsidR="00826522" w:rsidRDefault="00826522" w:rsidP="00826522">
      <w:pPr>
        <w:pStyle w:val="NormalWeb"/>
        <w:numPr>
          <w:ilvl w:val="0"/>
          <w:numId w:val="17"/>
        </w:numPr>
        <w:rPr>
          <w:color w:val="000000"/>
        </w:rPr>
      </w:pPr>
      <w:r>
        <w:rPr>
          <w:color w:val="000000"/>
        </w:rPr>
        <w:t>Deliver reporting that highlights profitability drivers and risk areas</w:t>
      </w:r>
    </w:p>
    <w:p w14:paraId="4B208F0B" w14:textId="77777777" w:rsidR="00826522" w:rsidRDefault="00826522" w:rsidP="00826522">
      <w:pPr>
        <w:pStyle w:val="NormalWeb"/>
        <w:numPr>
          <w:ilvl w:val="0"/>
          <w:numId w:val="17"/>
        </w:numPr>
        <w:rPr>
          <w:color w:val="000000"/>
        </w:rPr>
      </w:pPr>
      <w:r>
        <w:rPr>
          <w:color w:val="000000"/>
        </w:rPr>
        <w:lastRenderedPageBreak/>
        <w:t>Provide visibility into cash flow timing, margins, and key variances</w:t>
      </w:r>
    </w:p>
    <w:p w14:paraId="3B1C6F17" w14:textId="77777777" w:rsidR="00826522" w:rsidRDefault="00826522" w:rsidP="00826522">
      <w:pPr>
        <w:pStyle w:val="NormalWeb"/>
        <w:numPr>
          <w:ilvl w:val="0"/>
          <w:numId w:val="17"/>
        </w:numPr>
        <w:rPr>
          <w:color w:val="000000"/>
        </w:rPr>
      </w:pPr>
      <w:r>
        <w:rPr>
          <w:color w:val="000000"/>
        </w:rPr>
        <w:t>Support decision-ready insights with consistent reporting cadence</w:t>
      </w:r>
    </w:p>
    <w:p w14:paraId="4CDE93E1" w14:textId="77777777" w:rsidR="00826522" w:rsidRDefault="00826522" w:rsidP="00826522">
      <w:pPr>
        <w:pStyle w:val="NormalWeb"/>
        <w:rPr>
          <w:color w:val="000000"/>
        </w:rPr>
      </w:pPr>
      <w:r>
        <w:rPr>
          <w:rStyle w:val="Strong"/>
          <w:rFonts w:eastAsiaTheme="majorEastAsia"/>
          <w:color w:val="000000"/>
        </w:rPr>
        <w:t>Why It Matters</w:t>
      </w:r>
    </w:p>
    <w:p w14:paraId="11DC065E" w14:textId="77777777" w:rsidR="00826522" w:rsidRDefault="00826522" w:rsidP="00826522">
      <w:pPr>
        <w:pStyle w:val="NormalWeb"/>
        <w:numPr>
          <w:ilvl w:val="0"/>
          <w:numId w:val="18"/>
        </w:numPr>
        <w:rPr>
          <w:color w:val="000000"/>
        </w:rPr>
      </w:pPr>
      <w:r>
        <w:rPr>
          <w:color w:val="000000"/>
        </w:rPr>
        <w:t>Improves decision confidence with timely, relevant visibility</w:t>
      </w:r>
    </w:p>
    <w:p w14:paraId="40ECFFA4" w14:textId="77777777" w:rsidR="00826522" w:rsidRDefault="00826522" w:rsidP="00826522">
      <w:pPr>
        <w:pStyle w:val="NormalWeb"/>
        <w:numPr>
          <w:ilvl w:val="0"/>
          <w:numId w:val="18"/>
        </w:numPr>
        <w:rPr>
          <w:color w:val="000000"/>
        </w:rPr>
      </w:pPr>
      <w:r>
        <w:rPr>
          <w:color w:val="000000"/>
        </w:rPr>
        <w:t>Supports margin control and operational accountability</w:t>
      </w:r>
    </w:p>
    <w:p w14:paraId="5F1818F5" w14:textId="77777777" w:rsidR="00826522" w:rsidRDefault="00826522" w:rsidP="00826522">
      <w:pPr>
        <w:pStyle w:val="NormalWeb"/>
        <w:numPr>
          <w:ilvl w:val="0"/>
          <w:numId w:val="18"/>
        </w:numPr>
        <w:rPr>
          <w:color w:val="000000"/>
        </w:rPr>
      </w:pPr>
      <w:r>
        <w:rPr>
          <w:color w:val="000000"/>
        </w:rPr>
        <w:t>Builds trust in financial data for internal and external use</w:t>
      </w:r>
    </w:p>
    <w:p w14:paraId="3A825BCD" w14:textId="77777777" w:rsidR="00826522" w:rsidRDefault="00826522" w:rsidP="00826522">
      <w:r>
        <w:pict w14:anchorId="0E402284">
          <v:rect id="_x0000_i1029" style="width:0;height:1.5pt" o:hralign="center" o:hrstd="t" o:hr="t" fillcolor="#a0a0a0" stroked="f"/>
        </w:pict>
      </w:r>
    </w:p>
    <w:p w14:paraId="3608976C" w14:textId="77777777" w:rsidR="00826522" w:rsidRDefault="00826522" w:rsidP="00826522">
      <w:pPr>
        <w:pStyle w:val="Heading3"/>
        <w:rPr>
          <w:color w:val="000000"/>
        </w:rPr>
      </w:pPr>
      <w:r>
        <w:rPr>
          <w:color w:val="000000"/>
        </w:rPr>
        <w:t>Tax &amp; Compliance Alignment</w:t>
      </w:r>
    </w:p>
    <w:p w14:paraId="02A5DCCF" w14:textId="77777777" w:rsidR="00826522" w:rsidRDefault="00826522" w:rsidP="00826522">
      <w:pPr>
        <w:pStyle w:val="NormalWeb"/>
        <w:rPr>
          <w:color w:val="000000"/>
        </w:rPr>
      </w:pPr>
      <w:r>
        <w:rPr>
          <w:color w:val="000000"/>
        </w:rPr>
        <w:t>This phase keeps reporting outputs aligned to defensible filing positions by ensuring classifications and supporting documentation remain consistent throughout the year. It also reduces compliance-cycle friction by preventing late-stage data rework and minimizing gaps that trigger avoidable follow-up.</w:t>
      </w:r>
      <w:r>
        <w:rPr>
          <w:color w:val="000000"/>
        </w:rPr>
        <w:br/>
      </w:r>
      <w:r>
        <w:rPr>
          <w:rStyle w:val="Strong"/>
          <w:rFonts w:eastAsiaTheme="majorEastAsia"/>
          <w:color w:val="000000"/>
        </w:rPr>
        <w:t>Purpose</w:t>
      </w:r>
    </w:p>
    <w:p w14:paraId="3014AB1F" w14:textId="77777777" w:rsidR="00826522" w:rsidRDefault="00826522" w:rsidP="00826522">
      <w:pPr>
        <w:pStyle w:val="NormalWeb"/>
        <w:numPr>
          <w:ilvl w:val="0"/>
          <w:numId w:val="19"/>
        </w:numPr>
        <w:rPr>
          <w:color w:val="000000"/>
        </w:rPr>
      </w:pPr>
      <w:r>
        <w:rPr>
          <w:color w:val="000000"/>
        </w:rPr>
        <w:t>Align reporting outputs to compliance and filing requirements</w:t>
      </w:r>
    </w:p>
    <w:p w14:paraId="23F58767" w14:textId="77777777" w:rsidR="00826522" w:rsidRDefault="00826522" w:rsidP="00826522">
      <w:pPr>
        <w:pStyle w:val="NormalWeb"/>
        <w:numPr>
          <w:ilvl w:val="0"/>
          <w:numId w:val="19"/>
        </w:numPr>
        <w:rPr>
          <w:color w:val="000000"/>
        </w:rPr>
      </w:pPr>
      <w:r>
        <w:rPr>
          <w:color w:val="000000"/>
        </w:rPr>
        <w:t>Identify exposure areas and documentation needs to support defensibility</w:t>
      </w:r>
    </w:p>
    <w:p w14:paraId="1D583B4F" w14:textId="77777777" w:rsidR="00826522" w:rsidRDefault="00826522" w:rsidP="00826522">
      <w:pPr>
        <w:pStyle w:val="NormalWeb"/>
        <w:numPr>
          <w:ilvl w:val="0"/>
          <w:numId w:val="19"/>
        </w:numPr>
        <w:rPr>
          <w:color w:val="000000"/>
        </w:rPr>
      </w:pPr>
      <w:r>
        <w:rPr>
          <w:color w:val="000000"/>
        </w:rPr>
        <w:t>Coordinate planning considerations that improve predictability</w:t>
      </w:r>
    </w:p>
    <w:p w14:paraId="5CE804B6" w14:textId="77777777" w:rsidR="00826522" w:rsidRDefault="00826522" w:rsidP="00826522">
      <w:pPr>
        <w:pStyle w:val="NormalWeb"/>
        <w:rPr>
          <w:color w:val="000000"/>
        </w:rPr>
      </w:pPr>
      <w:r>
        <w:rPr>
          <w:rStyle w:val="Strong"/>
          <w:rFonts w:eastAsiaTheme="majorEastAsia"/>
          <w:color w:val="000000"/>
        </w:rPr>
        <w:t>Why It Matters</w:t>
      </w:r>
    </w:p>
    <w:p w14:paraId="4C09B11A" w14:textId="77777777" w:rsidR="00826522" w:rsidRDefault="00826522" w:rsidP="00826522">
      <w:pPr>
        <w:pStyle w:val="NormalWeb"/>
        <w:numPr>
          <w:ilvl w:val="0"/>
          <w:numId w:val="20"/>
        </w:numPr>
        <w:rPr>
          <w:color w:val="000000"/>
        </w:rPr>
      </w:pPr>
      <w:r>
        <w:rPr>
          <w:color w:val="000000"/>
        </w:rPr>
        <w:t>Reduces compliance risk and avoidable penalties</w:t>
      </w:r>
    </w:p>
    <w:p w14:paraId="2ADC1D5F" w14:textId="77777777" w:rsidR="00826522" w:rsidRDefault="00826522" w:rsidP="00826522">
      <w:pPr>
        <w:pStyle w:val="NormalWeb"/>
        <w:numPr>
          <w:ilvl w:val="0"/>
          <w:numId w:val="20"/>
        </w:numPr>
        <w:rPr>
          <w:color w:val="000000"/>
        </w:rPr>
      </w:pPr>
      <w:r>
        <w:rPr>
          <w:color w:val="000000"/>
        </w:rPr>
        <w:t>Improves audit readiness through organized support</w:t>
      </w:r>
    </w:p>
    <w:p w14:paraId="595F80B4" w14:textId="77777777" w:rsidR="00826522" w:rsidRDefault="00826522" w:rsidP="00826522">
      <w:pPr>
        <w:pStyle w:val="NormalWeb"/>
        <w:numPr>
          <w:ilvl w:val="0"/>
          <w:numId w:val="20"/>
        </w:numPr>
        <w:rPr>
          <w:color w:val="000000"/>
        </w:rPr>
      </w:pPr>
      <w:r>
        <w:rPr>
          <w:color w:val="000000"/>
        </w:rPr>
        <w:t>Prevents last-minute surprises tied to incomplete records</w:t>
      </w:r>
    </w:p>
    <w:p w14:paraId="3FD96643" w14:textId="77777777" w:rsidR="00826522" w:rsidRDefault="00DD4C18" w:rsidP="00826522">
      <w:r>
        <w:rPr>
          <w:noProof/>
        </w:rPr>
        <w:pict w14:anchorId="73231391">
          <v:rect id="_x0000_i1030" alt="" style="width:431.95pt;height:.05pt;mso-width-percent:0;mso-height-percent:0;mso-width-percent:0;mso-height-percent:0" o:hrpct="923" o:hralign="center" o:hrstd="t" o:hr="t" fillcolor="#a0a0a0" stroked="f"/>
        </w:pict>
      </w:r>
    </w:p>
    <w:p w14:paraId="1234EF43" w14:textId="77777777" w:rsidR="00826522" w:rsidRDefault="00826522" w:rsidP="00826522">
      <w:pPr>
        <w:pStyle w:val="Heading3"/>
        <w:rPr>
          <w:color w:val="000000"/>
        </w:rPr>
      </w:pPr>
      <w:r>
        <w:rPr>
          <w:color w:val="000000"/>
        </w:rPr>
        <w:t>Ongoing Monitoring &amp; Advisory Support</w:t>
      </w:r>
    </w:p>
    <w:p w14:paraId="13CB856E" w14:textId="77777777" w:rsidR="00826522" w:rsidRDefault="00826522" w:rsidP="00826522">
      <w:pPr>
        <w:pStyle w:val="NormalWeb"/>
        <w:rPr>
          <w:color w:val="000000"/>
        </w:rPr>
      </w:pPr>
      <w:r>
        <w:rPr>
          <w:color w:val="000000"/>
        </w:rPr>
        <w:t>This phase keeps financial discipline aligned as the firm evolves—new practice areas, changes in billing terms, compensation models, or growth initiatives that affect margin and cash timing. It also provides a structured mechanism to address recurring issues through control improvements rather than repeating the same corrections every month.</w:t>
      </w:r>
      <w:r>
        <w:rPr>
          <w:color w:val="000000"/>
        </w:rPr>
        <w:br/>
      </w:r>
      <w:r>
        <w:rPr>
          <w:rStyle w:val="Strong"/>
          <w:rFonts w:eastAsiaTheme="majorEastAsia"/>
          <w:color w:val="000000"/>
        </w:rPr>
        <w:t>Purpose</w:t>
      </w:r>
    </w:p>
    <w:p w14:paraId="01CA8742" w14:textId="77777777" w:rsidR="00826522" w:rsidRDefault="00826522" w:rsidP="00826522">
      <w:pPr>
        <w:pStyle w:val="NormalWeb"/>
        <w:numPr>
          <w:ilvl w:val="0"/>
          <w:numId w:val="21"/>
        </w:numPr>
        <w:rPr>
          <w:color w:val="000000"/>
        </w:rPr>
      </w:pPr>
      <w:r>
        <w:rPr>
          <w:color w:val="000000"/>
        </w:rPr>
        <w:t>Monitor changes in operations that impact reporting and compliance</w:t>
      </w:r>
    </w:p>
    <w:p w14:paraId="51B3AE97" w14:textId="77777777" w:rsidR="00826522" w:rsidRDefault="00826522" w:rsidP="00826522">
      <w:pPr>
        <w:pStyle w:val="NormalWeb"/>
        <w:numPr>
          <w:ilvl w:val="0"/>
          <w:numId w:val="21"/>
        </w:numPr>
        <w:rPr>
          <w:color w:val="000000"/>
        </w:rPr>
      </w:pPr>
      <w:r>
        <w:rPr>
          <w:color w:val="000000"/>
        </w:rPr>
        <w:t>Recommend adjustments to improve controls and efficiency</w:t>
      </w:r>
    </w:p>
    <w:p w14:paraId="753DB8DC" w14:textId="77777777" w:rsidR="00826522" w:rsidRDefault="00826522" w:rsidP="00826522">
      <w:pPr>
        <w:pStyle w:val="NormalWeb"/>
        <w:numPr>
          <w:ilvl w:val="0"/>
          <w:numId w:val="21"/>
        </w:numPr>
        <w:rPr>
          <w:color w:val="000000"/>
        </w:rPr>
      </w:pPr>
      <w:r>
        <w:rPr>
          <w:color w:val="000000"/>
        </w:rPr>
        <w:t>Support growth, financing, and stakeholder readiness as needed</w:t>
      </w:r>
    </w:p>
    <w:p w14:paraId="5BE9D73E" w14:textId="77777777" w:rsidR="00826522" w:rsidRDefault="00826522" w:rsidP="00826522">
      <w:pPr>
        <w:pStyle w:val="NormalWeb"/>
        <w:rPr>
          <w:color w:val="000000"/>
        </w:rPr>
      </w:pPr>
      <w:r>
        <w:rPr>
          <w:rStyle w:val="Strong"/>
          <w:rFonts w:eastAsiaTheme="majorEastAsia"/>
          <w:color w:val="000000"/>
        </w:rPr>
        <w:t>Why It Matters</w:t>
      </w:r>
    </w:p>
    <w:p w14:paraId="34F34103" w14:textId="77777777" w:rsidR="00826522" w:rsidRDefault="00826522" w:rsidP="00826522">
      <w:pPr>
        <w:pStyle w:val="NormalWeb"/>
        <w:numPr>
          <w:ilvl w:val="0"/>
          <w:numId w:val="22"/>
        </w:numPr>
        <w:rPr>
          <w:color w:val="000000"/>
        </w:rPr>
      </w:pPr>
      <w:r>
        <w:rPr>
          <w:color w:val="000000"/>
        </w:rPr>
        <w:t>Keeps financial discipline aligned as complexity increases</w:t>
      </w:r>
    </w:p>
    <w:p w14:paraId="7311E19C" w14:textId="77777777" w:rsidR="00826522" w:rsidRDefault="00826522" w:rsidP="00826522">
      <w:pPr>
        <w:pStyle w:val="NormalWeb"/>
        <w:numPr>
          <w:ilvl w:val="0"/>
          <w:numId w:val="22"/>
        </w:numPr>
        <w:rPr>
          <w:color w:val="000000"/>
        </w:rPr>
      </w:pPr>
      <w:r>
        <w:rPr>
          <w:color w:val="000000"/>
        </w:rPr>
        <w:lastRenderedPageBreak/>
        <w:t>Improves scalability without sacrificing control</w:t>
      </w:r>
    </w:p>
    <w:p w14:paraId="10090F7E" w14:textId="77777777" w:rsidR="00826522" w:rsidRDefault="00826522" w:rsidP="00826522">
      <w:pPr>
        <w:pStyle w:val="NormalWeb"/>
        <w:numPr>
          <w:ilvl w:val="0"/>
          <w:numId w:val="22"/>
        </w:numPr>
        <w:rPr>
          <w:color w:val="000000"/>
        </w:rPr>
      </w:pPr>
      <w:r>
        <w:rPr>
          <w:color w:val="000000"/>
        </w:rPr>
        <w:t>Strengthens long-term reliability and credibility</w:t>
      </w:r>
    </w:p>
    <w:p w14:paraId="74118473" w14:textId="161544A1" w:rsidR="007962FB" w:rsidRPr="00826522" w:rsidRDefault="007962FB" w:rsidP="00826522"/>
    <w:sectPr w:rsidR="007962FB" w:rsidRPr="008265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5C4F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8168F"/>
    <w:multiLevelType w:val="multilevel"/>
    <w:tmpl w:val="35A4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4432E"/>
    <w:multiLevelType w:val="multilevel"/>
    <w:tmpl w:val="1EA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60B6E"/>
    <w:multiLevelType w:val="multilevel"/>
    <w:tmpl w:val="646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E684A"/>
    <w:multiLevelType w:val="multilevel"/>
    <w:tmpl w:val="3BC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83DF0"/>
    <w:multiLevelType w:val="multilevel"/>
    <w:tmpl w:val="E03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33D4B"/>
    <w:multiLevelType w:val="multilevel"/>
    <w:tmpl w:val="516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84209"/>
    <w:multiLevelType w:val="multilevel"/>
    <w:tmpl w:val="4AA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F6035"/>
    <w:multiLevelType w:val="multilevel"/>
    <w:tmpl w:val="4476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117CA"/>
    <w:multiLevelType w:val="multilevel"/>
    <w:tmpl w:val="99D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378A6"/>
    <w:multiLevelType w:val="multilevel"/>
    <w:tmpl w:val="7EF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7C163A"/>
    <w:multiLevelType w:val="multilevel"/>
    <w:tmpl w:val="E99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76D45"/>
    <w:multiLevelType w:val="multilevel"/>
    <w:tmpl w:val="697A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D7E4F"/>
    <w:multiLevelType w:val="multilevel"/>
    <w:tmpl w:val="E28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663196">
    <w:abstractNumId w:val="8"/>
  </w:num>
  <w:num w:numId="2" w16cid:durableId="1389111902">
    <w:abstractNumId w:val="6"/>
  </w:num>
  <w:num w:numId="3" w16cid:durableId="1974675887">
    <w:abstractNumId w:val="5"/>
  </w:num>
  <w:num w:numId="4" w16cid:durableId="379137668">
    <w:abstractNumId w:val="4"/>
  </w:num>
  <w:num w:numId="5" w16cid:durableId="718551996">
    <w:abstractNumId w:val="7"/>
  </w:num>
  <w:num w:numId="6" w16cid:durableId="126289790">
    <w:abstractNumId w:val="3"/>
  </w:num>
  <w:num w:numId="7" w16cid:durableId="1494251062">
    <w:abstractNumId w:val="2"/>
  </w:num>
  <w:num w:numId="8" w16cid:durableId="1946113394">
    <w:abstractNumId w:val="1"/>
  </w:num>
  <w:num w:numId="9" w16cid:durableId="34938547">
    <w:abstractNumId w:val="0"/>
  </w:num>
  <w:num w:numId="10" w16cid:durableId="392774038">
    <w:abstractNumId w:val="18"/>
  </w:num>
  <w:num w:numId="11" w16cid:durableId="848984528">
    <w:abstractNumId w:val="17"/>
  </w:num>
  <w:num w:numId="12" w16cid:durableId="1307853842">
    <w:abstractNumId w:val="19"/>
  </w:num>
  <w:num w:numId="13" w16cid:durableId="719670320">
    <w:abstractNumId w:val="13"/>
  </w:num>
  <w:num w:numId="14" w16cid:durableId="351230097">
    <w:abstractNumId w:val="12"/>
  </w:num>
  <w:num w:numId="15" w16cid:durableId="2046634991">
    <w:abstractNumId w:val="21"/>
  </w:num>
  <w:num w:numId="16" w16cid:durableId="1348021707">
    <w:abstractNumId w:val="14"/>
  </w:num>
  <w:num w:numId="17" w16cid:durableId="1987969377">
    <w:abstractNumId w:val="10"/>
  </w:num>
  <w:num w:numId="18" w16cid:durableId="1713917618">
    <w:abstractNumId w:val="9"/>
  </w:num>
  <w:num w:numId="19" w16cid:durableId="1978031033">
    <w:abstractNumId w:val="16"/>
  </w:num>
  <w:num w:numId="20" w16cid:durableId="1368750539">
    <w:abstractNumId w:val="11"/>
  </w:num>
  <w:num w:numId="21" w16cid:durableId="1729762217">
    <w:abstractNumId w:val="15"/>
  </w:num>
  <w:num w:numId="22" w16cid:durableId="9658121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2FB"/>
    <w:rsid w:val="00826522"/>
    <w:rsid w:val="00AA1D8D"/>
    <w:rsid w:val="00B47730"/>
    <w:rsid w:val="00CB0664"/>
    <w:rsid w:val="00CD6F65"/>
    <w:rsid w:val="00DD4C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6F173"/>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6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26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667</Words>
  <Characters>4769</Characters>
  <Application>Microsoft Office Word</Application>
  <DocSecurity>0</DocSecurity>
  <Lines>103</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2026-02-01T19:40:00Z</dcterms:modified>
  <cp:category/>
</cp:coreProperties>
</file>