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475A5" w14:textId="77777777" w:rsidR="00D30495" w:rsidRDefault="00000000">
      <w:pPr>
        <w:pStyle w:val="Heading1"/>
      </w:pPr>
      <w:r>
        <w:t>Tax Planning and Strategy Services – Quantum’s Strategic, Structure-First Approach</w:t>
      </w:r>
    </w:p>
    <w:p w14:paraId="7421F515" w14:textId="77777777" w:rsidR="00D30495" w:rsidRDefault="00000000">
      <w:r>
        <w:t>Tax Planning and Strategy Services provide a structured advisory process to reduce tax exposure by improving how income and activities are structured—not just how they are reported. Many taxpayers overpay due to inefficient setup, timing choices, or inconsistent documentation that cannot be corrected at filing time. Quantum delivers governance-first, control-driven planning grounded in the six pillars: Clarity, Consistency, Compliance, Communication, Control, and Comprehensiveness. The result is clear options, documented tradeoffs, and a repeatable strategy that remains defensible and aligned as circumstances change.</w:t>
      </w:r>
    </w:p>
    <w:p w14:paraId="55C42508" w14:textId="3CD41B81" w:rsidR="00D30495" w:rsidRDefault="00000000">
      <w:pPr>
        <w:pStyle w:val="Heading2"/>
      </w:pPr>
      <w:r>
        <w:t xml:space="preserve">Strategic Planning Discovery Call </w:t>
      </w:r>
    </w:p>
    <w:p w14:paraId="60CD8E3A" w14:textId="77777777" w:rsidR="00D30495" w:rsidRDefault="00000000">
      <w:r>
        <w:t>Purpose</w:t>
      </w:r>
    </w:p>
    <w:p w14:paraId="48D63D9B" w14:textId="77777777" w:rsidR="00D30495" w:rsidRDefault="00000000">
      <w:pPr>
        <w:pStyle w:val="ListBullet"/>
      </w:pPr>
      <w:r>
        <w:t>Understand income sources, ownership structure, operating model, and future plans</w:t>
      </w:r>
    </w:p>
    <w:p w14:paraId="5E064AC8" w14:textId="77777777" w:rsidR="00D30495" w:rsidRDefault="00000000">
      <w:pPr>
        <w:pStyle w:val="ListBullet"/>
      </w:pPr>
      <w:r>
        <w:t>Identify structural inefficiencies driving unnecessary tax exposure</w:t>
      </w:r>
    </w:p>
    <w:p w14:paraId="326FD4F1" w14:textId="77777777" w:rsidR="00D30495" w:rsidRDefault="00000000">
      <w:pPr>
        <w:pStyle w:val="ListBullet"/>
      </w:pPr>
      <w:r>
        <w:t>Define objectives, constraints, and decision priorities for planning</w:t>
      </w:r>
    </w:p>
    <w:p w14:paraId="0748E5D0" w14:textId="77777777" w:rsidR="00D30495" w:rsidRDefault="00000000">
      <w:r>
        <w:t>Why It Matters</w:t>
      </w:r>
    </w:p>
    <w:p w14:paraId="12A52240" w14:textId="77777777" w:rsidR="00D30495" w:rsidRDefault="00000000">
      <w:pPr>
        <w:pStyle w:val="ListBullet"/>
      </w:pPr>
      <w:r>
        <w:t>Creates a reliable foundation for long-term optimization</w:t>
      </w:r>
    </w:p>
    <w:p w14:paraId="641FA1E0" w14:textId="77777777" w:rsidR="00D30495" w:rsidRDefault="00000000">
      <w:pPr>
        <w:pStyle w:val="ListBullet"/>
      </w:pPr>
      <w:r>
        <w:t>Prevents reactive decisions after liabilities are already locked in</w:t>
      </w:r>
    </w:p>
    <w:p w14:paraId="2C920A28" w14:textId="77777777" w:rsidR="00D30495" w:rsidRDefault="00000000">
      <w:pPr>
        <w:pStyle w:val="ListBullet"/>
      </w:pPr>
      <w:r>
        <w:t>Improves decision confidence by clarifying what matters most</w:t>
      </w:r>
    </w:p>
    <w:p w14:paraId="799C7D11" w14:textId="77777777" w:rsidR="00D30495" w:rsidRDefault="00000000">
      <w:pPr>
        <w:pStyle w:val="Heading2"/>
      </w:pPr>
      <w:r>
        <w:t>Current-State &amp; Structural Assessment</w:t>
      </w:r>
    </w:p>
    <w:p w14:paraId="0376DB88" w14:textId="77777777" w:rsidR="00D30495" w:rsidRDefault="00000000">
      <w:r>
        <w:t>Purpose</w:t>
      </w:r>
    </w:p>
    <w:p w14:paraId="01D0A888" w14:textId="77777777" w:rsidR="00D30495" w:rsidRDefault="00000000">
      <w:pPr>
        <w:pStyle w:val="ListBullet"/>
      </w:pPr>
      <w:r>
        <w:t>Assess the current tax position and the structure behind it</w:t>
      </w:r>
    </w:p>
    <w:p w14:paraId="3CDE1EC1" w14:textId="77777777" w:rsidR="00D30495" w:rsidRDefault="00000000">
      <w:pPr>
        <w:pStyle w:val="ListBullet"/>
      </w:pPr>
      <w:r>
        <w:t>Review classification, entity setup, compensation design, and jurisdictional exposure where applicable</w:t>
      </w:r>
    </w:p>
    <w:p w14:paraId="304EB88B" w14:textId="77777777" w:rsidR="00D30495" w:rsidRDefault="00000000">
      <w:pPr>
        <w:pStyle w:val="ListBullet"/>
      </w:pPr>
      <w:r>
        <w:t>Identify documentation gaps and risk areas that weaken defensibility</w:t>
      </w:r>
    </w:p>
    <w:p w14:paraId="570A8296" w14:textId="77777777" w:rsidR="00D30495" w:rsidRDefault="00000000">
      <w:r>
        <w:t>Why It Matters</w:t>
      </w:r>
    </w:p>
    <w:p w14:paraId="4940A961" w14:textId="77777777" w:rsidR="00D30495" w:rsidRDefault="00000000">
      <w:pPr>
        <w:pStyle w:val="ListBullet"/>
      </w:pPr>
      <w:r>
        <w:t>Establishes a fact-based baseline for redesign decisions</w:t>
      </w:r>
    </w:p>
    <w:p w14:paraId="50AED5DD" w14:textId="77777777" w:rsidR="00D30495" w:rsidRDefault="00000000">
      <w:pPr>
        <w:pStyle w:val="ListBullet"/>
      </w:pPr>
      <w:r>
        <w:t>Reduces risk from inconsistent positions or avoidable compliance exposure</w:t>
      </w:r>
    </w:p>
    <w:p w14:paraId="5E4F6124" w14:textId="77777777" w:rsidR="00D30495" w:rsidRDefault="00000000">
      <w:pPr>
        <w:pStyle w:val="ListBullet"/>
      </w:pPr>
      <w:r>
        <w:t>Improves audit defensibility through clearer support and rationale</w:t>
      </w:r>
    </w:p>
    <w:p w14:paraId="264E8476" w14:textId="77777777" w:rsidR="00D30495" w:rsidRDefault="00000000">
      <w:pPr>
        <w:pStyle w:val="Heading2"/>
      </w:pPr>
      <w:r>
        <w:t>Structure Design &amp; Tax Strategy Engineering</w:t>
      </w:r>
    </w:p>
    <w:p w14:paraId="2D3C694D" w14:textId="77777777" w:rsidR="00D30495" w:rsidRDefault="00000000">
      <w:r>
        <w:t>Purpose</w:t>
      </w:r>
    </w:p>
    <w:p w14:paraId="01A07EED" w14:textId="77777777" w:rsidR="00D30495" w:rsidRDefault="00000000">
      <w:pPr>
        <w:pStyle w:val="ListBullet"/>
      </w:pPr>
      <w:r>
        <w:t>Develop compliant strategy options tied to structure, timing, and characterization</w:t>
      </w:r>
    </w:p>
    <w:p w14:paraId="0531F64F" w14:textId="77777777" w:rsidR="00D30495" w:rsidRDefault="00000000">
      <w:pPr>
        <w:pStyle w:val="ListBullet"/>
      </w:pPr>
      <w:r>
        <w:t>Evaluate long-term considerations for growth, reinvestment, or exit</w:t>
      </w:r>
    </w:p>
    <w:p w14:paraId="68C2EE9E" w14:textId="77777777" w:rsidR="00D30495" w:rsidRDefault="00000000">
      <w:pPr>
        <w:pStyle w:val="ListBullet"/>
      </w:pPr>
      <w:r>
        <w:lastRenderedPageBreak/>
        <w:t>Define control points and documentation requirements to sustain the strategy</w:t>
      </w:r>
    </w:p>
    <w:p w14:paraId="19491867" w14:textId="77777777" w:rsidR="00D30495" w:rsidRDefault="00000000">
      <w:r>
        <w:t>Why It Matters</w:t>
      </w:r>
    </w:p>
    <w:p w14:paraId="2439DFFE" w14:textId="77777777" w:rsidR="00D30495" w:rsidRDefault="00000000">
      <w:pPr>
        <w:pStyle w:val="ListBullet"/>
      </w:pPr>
      <w:r>
        <w:t>Shifts tax outcomes from chance to design</w:t>
      </w:r>
    </w:p>
    <w:p w14:paraId="5B52CC11" w14:textId="77777777" w:rsidR="00D30495" w:rsidRDefault="00000000">
      <w:pPr>
        <w:pStyle w:val="ListBullet"/>
      </w:pPr>
      <w:r>
        <w:t>Reduces long-term leakage from inefficient structures</w:t>
      </w:r>
    </w:p>
    <w:p w14:paraId="126B9C3E" w14:textId="77777777" w:rsidR="00D30495" w:rsidRDefault="00000000">
      <w:pPr>
        <w:pStyle w:val="ListBullet"/>
      </w:pPr>
      <w:r>
        <w:t>Creates scalable approaches that remain consistent over time</w:t>
      </w:r>
    </w:p>
    <w:p w14:paraId="4555B7DC" w14:textId="77777777" w:rsidR="00D30495" w:rsidRDefault="00000000">
      <w:pPr>
        <w:pStyle w:val="Heading2"/>
      </w:pPr>
      <w:r>
        <w:t>Action Plan &amp; Decision Enablement</w:t>
      </w:r>
    </w:p>
    <w:p w14:paraId="047B5BC0" w14:textId="77777777" w:rsidR="00D30495" w:rsidRDefault="00000000">
      <w:r>
        <w:t>Purpose</w:t>
      </w:r>
    </w:p>
    <w:p w14:paraId="0B7B8CA6" w14:textId="77777777" w:rsidR="00D30495" w:rsidRDefault="00000000">
      <w:pPr>
        <w:pStyle w:val="ListBullet"/>
      </w:pPr>
      <w:r>
        <w:t>Provide side-by-side comparisons of alternatives with clear tradeoffs</w:t>
      </w:r>
    </w:p>
    <w:p w14:paraId="1DCF831D" w14:textId="77777777" w:rsidR="00D30495" w:rsidRDefault="00000000">
      <w:pPr>
        <w:pStyle w:val="ListBullet"/>
      </w:pPr>
      <w:r>
        <w:t>Translate implications into plain-language decision points</w:t>
      </w:r>
    </w:p>
    <w:p w14:paraId="3CE5BBF6" w14:textId="77777777" w:rsidR="00D30495" w:rsidRDefault="00000000">
      <w:pPr>
        <w:pStyle w:val="ListBullet"/>
      </w:pPr>
      <w:r>
        <w:t>Define prioritized actions, timelines, and documentation needs</w:t>
      </w:r>
    </w:p>
    <w:p w14:paraId="5468B0B2" w14:textId="77777777" w:rsidR="00D30495" w:rsidRDefault="00000000">
      <w:r>
        <w:t>Why It Matters</w:t>
      </w:r>
    </w:p>
    <w:p w14:paraId="4F4F7ED2" w14:textId="77777777" w:rsidR="00D30495" w:rsidRDefault="00000000">
      <w:pPr>
        <w:pStyle w:val="ListBullet"/>
      </w:pPr>
      <w:r>
        <w:t>Eliminates guesswork and reduces surprise outcomes</w:t>
      </w:r>
    </w:p>
    <w:p w14:paraId="37C1162E" w14:textId="77777777" w:rsidR="00D30495" w:rsidRDefault="00000000">
      <w:pPr>
        <w:pStyle w:val="ListBullet"/>
      </w:pPr>
      <w:r>
        <w:t>Supports disciplined governance over tax-sensitive decisions</w:t>
      </w:r>
    </w:p>
    <w:p w14:paraId="057CBF07" w14:textId="77777777" w:rsidR="00D30495" w:rsidRDefault="00000000">
      <w:pPr>
        <w:pStyle w:val="ListBullet"/>
      </w:pPr>
      <w:r>
        <w:t>Creates defensible records of why decisions were made</w:t>
      </w:r>
    </w:p>
    <w:p w14:paraId="1DB91AA1" w14:textId="77777777" w:rsidR="00D30495" w:rsidRDefault="00000000">
      <w:pPr>
        <w:pStyle w:val="Heading2"/>
      </w:pPr>
      <w:r>
        <w:t>Implementation Guidance &amp; Coordination</w:t>
      </w:r>
    </w:p>
    <w:p w14:paraId="613F56F9" w14:textId="77777777" w:rsidR="00D30495" w:rsidRDefault="00000000">
      <w:r>
        <w:t>Purpose</w:t>
      </w:r>
    </w:p>
    <w:p w14:paraId="55F8690B" w14:textId="77777777" w:rsidR="00D30495" w:rsidRDefault="00000000">
      <w:pPr>
        <w:pStyle w:val="ListBullet"/>
      </w:pPr>
      <w:r>
        <w:t>Provide structured guidance for elections, restructuring steps, and compliance alignment</w:t>
      </w:r>
    </w:p>
    <w:p w14:paraId="35E2BBFD" w14:textId="77777777" w:rsidR="00D30495" w:rsidRDefault="00000000">
      <w:pPr>
        <w:pStyle w:val="ListBullet"/>
      </w:pPr>
      <w:r>
        <w:t>Coordinate execution considerations across accounting, payroll, and recordkeeping where applicable</w:t>
      </w:r>
    </w:p>
    <w:p w14:paraId="5652AF74" w14:textId="77777777" w:rsidR="00D30495" w:rsidRDefault="00000000">
      <w:pPr>
        <w:pStyle w:val="ListBullet"/>
      </w:pPr>
      <w:r>
        <w:t>Confirm timelines and documentation needed to preserve expected benefits</w:t>
      </w:r>
    </w:p>
    <w:p w14:paraId="3D21C71D" w14:textId="77777777" w:rsidR="00D30495" w:rsidRDefault="00000000">
      <w:r>
        <w:t>Why It Matters</w:t>
      </w:r>
    </w:p>
    <w:p w14:paraId="53E0726F" w14:textId="77777777" w:rsidR="00D30495" w:rsidRDefault="00000000">
      <w:pPr>
        <w:pStyle w:val="ListBullet"/>
      </w:pPr>
      <w:r>
        <w:t>Reduces execution risk that can invalidate good strategy</w:t>
      </w:r>
    </w:p>
    <w:p w14:paraId="6492F06D" w14:textId="77777777" w:rsidR="00D30495" w:rsidRDefault="00000000">
      <w:pPr>
        <w:pStyle w:val="ListBullet"/>
      </w:pPr>
      <w:r>
        <w:t>Improves operational control and compliance consistency</w:t>
      </w:r>
    </w:p>
    <w:p w14:paraId="741E7936" w14:textId="77777777" w:rsidR="00D30495" w:rsidRDefault="00000000">
      <w:pPr>
        <w:pStyle w:val="ListBullet"/>
      </w:pPr>
      <w:r>
        <w:t>Prevents downstream rework and avoidable exposure</w:t>
      </w:r>
    </w:p>
    <w:p w14:paraId="501CF0DF" w14:textId="77777777" w:rsidR="00D30495" w:rsidRDefault="00000000">
      <w:pPr>
        <w:pStyle w:val="Heading2"/>
      </w:pPr>
      <w:r>
        <w:t>Ongoing Planning, Structural Review &amp; Adjustments</w:t>
      </w:r>
    </w:p>
    <w:p w14:paraId="01517634" w14:textId="77777777" w:rsidR="00D30495" w:rsidRDefault="00000000">
      <w:r>
        <w:t>Purpose</w:t>
      </w:r>
    </w:p>
    <w:p w14:paraId="2D305E8A" w14:textId="77777777" w:rsidR="00D30495" w:rsidRDefault="00000000">
      <w:pPr>
        <w:pStyle w:val="ListBullet"/>
      </w:pPr>
      <w:r>
        <w:t>Reassess strategy as income, ownership, and regulations change</w:t>
      </w:r>
    </w:p>
    <w:p w14:paraId="33A7B012" w14:textId="77777777" w:rsidR="00D30495" w:rsidRDefault="00000000">
      <w:pPr>
        <w:pStyle w:val="ListBullet"/>
      </w:pPr>
      <w:r>
        <w:t>Evaluate tax impact of major events before commitments are made</w:t>
      </w:r>
    </w:p>
    <w:p w14:paraId="431A8302" w14:textId="77777777" w:rsidR="00D30495" w:rsidRDefault="00000000">
      <w:pPr>
        <w:pStyle w:val="ListBullet"/>
      </w:pPr>
      <w:r>
        <w:t>Refine assumptions, controls, and documentation to maintain effectiveness</w:t>
      </w:r>
    </w:p>
    <w:p w14:paraId="6B20CB76" w14:textId="77777777" w:rsidR="00D30495" w:rsidRDefault="00000000">
      <w:r>
        <w:t>Why It Matters</w:t>
      </w:r>
    </w:p>
    <w:p w14:paraId="642A6D65" w14:textId="77777777" w:rsidR="00D30495" w:rsidRDefault="00000000">
      <w:pPr>
        <w:pStyle w:val="ListBullet"/>
      </w:pPr>
      <w:r>
        <w:t>Prevents long-term inefficiencies from outdated structures</w:t>
      </w:r>
    </w:p>
    <w:p w14:paraId="4AB39B60" w14:textId="77777777" w:rsidR="00D30495" w:rsidRDefault="00000000">
      <w:pPr>
        <w:pStyle w:val="ListBullet"/>
      </w:pPr>
      <w:r>
        <w:lastRenderedPageBreak/>
        <w:t>Improves predictability across changing conditions</w:t>
      </w:r>
    </w:p>
    <w:p w14:paraId="675C89FD" w14:textId="77777777" w:rsidR="00D30495" w:rsidRDefault="00000000">
      <w:pPr>
        <w:pStyle w:val="ListBullet"/>
      </w:pPr>
      <w:r>
        <w:t>Sustains compliance and defensibility over time</w:t>
      </w:r>
    </w:p>
    <w:sectPr w:rsidR="00D304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058191">
    <w:abstractNumId w:val="8"/>
  </w:num>
  <w:num w:numId="2" w16cid:durableId="1175463938">
    <w:abstractNumId w:val="6"/>
  </w:num>
  <w:num w:numId="3" w16cid:durableId="63261493">
    <w:abstractNumId w:val="5"/>
  </w:num>
  <w:num w:numId="4" w16cid:durableId="982463636">
    <w:abstractNumId w:val="4"/>
  </w:num>
  <w:num w:numId="5" w16cid:durableId="1094400014">
    <w:abstractNumId w:val="7"/>
  </w:num>
  <w:num w:numId="6" w16cid:durableId="1646549262">
    <w:abstractNumId w:val="3"/>
  </w:num>
  <w:num w:numId="7" w16cid:durableId="1135413329">
    <w:abstractNumId w:val="2"/>
  </w:num>
  <w:num w:numId="8" w16cid:durableId="205802572">
    <w:abstractNumId w:val="1"/>
  </w:num>
  <w:num w:numId="9" w16cid:durableId="17959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82F45"/>
    <w:rsid w:val="00AA1D8D"/>
    <w:rsid w:val="00B47730"/>
    <w:rsid w:val="00CB0664"/>
    <w:rsid w:val="00CD6F65"/>
    <w:rsid w:val="00D304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5A69E"/>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426</Words>
  <Characters>3021</Characters>
  <Application>Microsoft Office Word</Application>
  <DocSecurity>0</DocSecurity>
  <Lines>67</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2026-02-01T16:25:00Z</dcterms:modified>
  <cp:category/>
</cp:coreProperties>
</file>