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63650" w14:textId="77777777" w:rsidR="00DF24F9" w:rsidRDefault="00DF24F9" w:rsidP="00DF24F9">
      <w:pPr>
        <w:pStyle w:val="NormalWeb"/>
        <w:rPr>
          <w:color w:val="000000"/>
        </w:rPr>
      </w:pPr>
      <w:r w:rsidRPr="00DF24F9">
        <w:rPr>
          <w:b/>
          <w:bCs/>
          <w:color w:val="000000"/>
        </w:rPr>
        <w:t>Data Governance</w:t>
      </w:r>
      <w:r>
        <w:rPr>
          <w:color w:val="000000"/>
        </w:rPr>
        <w:br/>
        <w:t>Data Governance establishes disciplined oversight to manage data ownership, quality standards, validation controls, and decision reliability across reporting and analytics with clear accountability, consistent controls, and defensible documentation. As technology complexity grows, unmanaged decisions in this area can create operational instability, control failures, and regulatory exposure. Quantum delivers governance-first, control-driven advisory grounded in Clarity, Consistency, Compliance, Communication, Control, and Comprehensiveness, translating framework expectations into practical operating discipline. The outcome is improved reliability, audit defensibility, and scalable governance aligned to enterprise needs.</w:t>
      </w:r>
    </w:p>
    <w:p w14:paraId="175E8EAE" w14:textId="77777777" w:rsidR="00DF24F9" w:rsidRDefault="00DF24F9" w:rsidP="00DF24F9">
      <w:pPr>
        <w:pStyle w:val="NormalWeb"/>
        <w:rPr>
          <w:color w:val="000000"/>
        </w:rPr>
      </w:pPr>
      <w:r w:rsidRPr="00DF24F9">
        <w:rPr>
          <w:b/>
          <w:bCs/>
          <w:color w:val="000000"/>
        </w:rPr>
        <w:t>Discovery &amp; Operating Context</w:t>
      </w:r>
      <w:r>
        <w:rPr>
          <w:color w:val="000000"/>
        </w:rPr>
        <w:br/>
        <w:t>This stage establishes a shared understanding of how data is created, used, moved, and relied on across key business processes, reporting, and analytics. We clarify where decisions are made, who owns critical datasets, and what “reliable” means for stakeholders and compliance needs. The outcome is a clear governance scope and operating context that prevents downstream misalignment and missed dependencies.</w:t>
      </w:r>
      <w:r>
        <w:rPr>
          <w:color w:val="000000"/>
        </w:rPr>
        <w:br/>
        <w:t>Purpose</w:t>
      </w:r>
      <w:r>
        <w:rPr>
          <w:color w:val="000000"/>
        </w:rPr>
        <w:br/>
        <w:t>• Understand the service area scope, dependencies, and decision points</w:t>
      </w:r>
      <w:r>
        <w:rPr>
          <w:color w:val="000000"/>
        </w:rPr>
        <w:br/>
        <w:t>• Identify critical risks, compliance needs, and stakeholder expectations</w:t>
      </w:r>
      <w:r>
        <w:rPr>
          <w:color w:val="000000"/>
        </w:rPr>
        <w:br/>
        <w:t>• Define objectives, boundaries, and accountability requirements</w:t>
      </w:r>
      <w:r>
        <w:rPr>
          <w:color w:val="000000"/>
        </w:rPr>
        <w:br/>
        <w:t>Why It Matters</w:t>
      </w:r>
      <w:r>
        <w:rPr>
          <w:color w:val="000000"/>
        </w:rPr>
        <w:br/>
        <w:t>• Creates clarity on what must be governed and why</w:t>
      </w:r>
      <w:r>
        <w:rPr>
          <w:color w:val="000000"/>
        </w:rPr>
        <w:br/>
        <w:t>• Prevents fragmented oversight and inconsistent decisions</w:t>
      </w:r>
      <w:r>
        <w:rPr>
          <w:color w:val="000000"/>
        </w:rPr>
        <w:br/>
        <w:t>• Improves control over risk from the start</w:t>
      </w:r>
    </w:p>
    <w:p w14:paraId="2194671B" w14:textId="77777777" w:rsidR="00DF24F9" w:rsidRDefault="00DF24F9" w:rsidP="00DF24F9">
      <w:pPr>
        <w:pStyle w:val="NormalWeb"/>
        <w:rPr>
          <w:color w:val="000000"/>
        </w:rPr>
      </w:pPr>
      <w:r w:rsidRPr="00DF24F9">
        <w:rPr>
          <w:b/>
          <w:bCs/>
          <w:color w:val="000000"/>
        </w:rPr>
        <w:t>Current-State Assessment &amp; Gap Analysis</w:t>
      </w:r>
      <w:r>
        <w:rPr>
          <w:color w:val="000000"/>
        </w:rPr>
        <w:br/>
        <w:t>This stage evaluates the current governance maturity—policies, documentation, data definitions, quality checks, and control execution—against the level of reliability the organization expects. We identify gaps that create inconsistent reporting, weak audit evidence, or unmanaged data handling risk, then prioritize fixes based on business impact. The outcome is a fact-based baseline and a practical improvement plan rather than theoretical “best practices.”</w:t>
      </w:r>
      <w:r>
        <w:rPr>
          <w:color w:val="000000"/>
        </w:rPr>
        <w:br/>
        <w:t>Purpose</w:t>
      </w:r>
      <w:r>
        <w:rPr>
          <w:color w:val="000000"/>
        </w:rPr>
        <w:br/>
        <w:t>• Assess current practices, documentation, and control effectiveness</w:t>
      </w:r>
      <w:r>
        <w:rPr>
          <w:color w:val="000000"/>
        </w:rPr>
        <w:br/>
        <w:t>• Identify gaps, overlaps, and unmanaged risks</w:t>
      </w:r>
      <w:r>
        <w:rPr>
          <w:color w:val="000000"/>
        </w:rPr>
        <w:br/>
        <w:t>• Prioritize remediation based on impact and feasibility</w:t>
      </w:r>
      <w:r>
        <w:rPr>
          <w:color w:val="000000"/>
        </w:rPr>
        <w:br/>
        <w:t>Why It Matters</w:t>
      </w:r>
      <w:r>
        <w:rPr>
          <w:color w:val="000000"/>
        </w:rPr>
        <w:br/>
        <w:t>• Reduces exposure caused by undocumented or inconsistent practices</w:t>
      </w:r>
      <w:r>
        <w:rPr>
          <w:color w:val="000000"/>
        </w:rPr>
        <w:br/>
        <w:t>• Improves audit defensibility through clearer evidence and ownership</w:t>
      </w:r>
      <w:r>
        <w:rPr>
          <w:color w:val="000000"/>
        </w:rPr>
        <w:br/>
        <w:t>• Creates a fact-based baseline for improvement</w:t>
      </w:r>
    </w:p>
    <w:p w14:paraId="55442BA2" w14:textId="77777777" w:rsidR="00DF24F9" w:rsidRDefault="00DF24F9" w:rsidP="00DF24F9">
      <w:pPr>
        <w:pStyle w:val="NormalWeb"/>
        <w:rPr>
          <w:color w:val="000000"/>
        </w:rPr>
      </w:pPr>
      <w:r w:rsidRPr="00DF24F9">
        <w:rPr>
          <w:b/>
          <w:bCs/>
          <w:color w:val="000000"/>
        </w:rPr>
        <w:t>Governance Design &amp; Control Standards</w:t>
      </w:r>
      <w:r>
        <w:rPr>
          <w:color w:val="000000"/>
        </w:rPr>
        <w:br/>
        <w:t xml:space="preserve">This stage defines the governance model that makes accountability real—clear ownership, decision rights, escalation paths, and oversight routines that fit how work </w:t>
      </w:r>
      <w:proofErr w:type="gramStart"/>
      <w:r>
        <w:rPr>
          <w:color w:val="000000"/>
        </w:rPr>
        <w:t>actually happens</w:t>
      </w:r>
      <w:proofErr w:type="gramEnd"/>
      <w:r>
        <w:rPr>
          <w:color w:val="000000"/>
        </w:rPr>
        <w:t xml:space="preserve">. We establish control standards for data quality, validation, access, </w:t>
      </w:r>
      <w:r>
        <w:rPr>
          <w:color w:val="000000"/>
        </w:rPr>
        <w:lastRenderedPageBreak/>
        <w:t>change handling, and documentation so teams execute consistently across systems and vendors. The outcome is predictable discipline that scales as data volume, tooling, and stakeholders increase.</w:t>
      </w:r>
      <w:r>
        <w:rPr>
          <w:color w:val="000000"/>
        </w:rPr>
        <w:br/>
        <w:t>Purpose</w:t>
      </w:r>
      <w:r>
        <w:rPr>
          <w:color w:val="000000"/>
        </w:rPr>
        <w:br/>
        <w:t>• Define roles, decision rights, escalation paths, and oversight routines</w:t>
      </w:r>
      <w:r>
        <w:rPr>
          <w:color w:val="000000"/>
        </w:rPr>
        <w:br/>
        <w:t>• Establish practical control standards and documentation expectations</w:t>
      </w:r>
      <w:r>
        <w:rPr>
          <w:color w:val="000000"/>
        </w:rPr>
        <w:br/>
        <w:t>• Align governance to operating reality and scalability needs</w:t>
      </w:r>
      <w:r>
        <w:rPr>
          <w:color w:val="000000"/>
        </w:rPr>
        <w:br/>
        <w:t>Why It Matters</w:t>
      </w:r>
      <w:r>
        <w:rPr>
          <w:color w:val="000000"/>
        </w:rPr>
        <w:br/>
        <w:t>• Improves operational control and accountability</w:t>
      </w:r>
      <w:r>
        <w:rPr>
          <w:color w:val="000000"/>
        </w:rPr>
        <w:br/>
        <w:t>• Strengthens predictability and consistency across teams and vendors</w:t>
      </w:r>
      <w:r>
        <w:rPr>
          <w:color w:val="000000"/>
        </w:rPr>
        <w:br/>
        <w:t>• Supports scalable governance as complexity increases</w:t>
      </w:r>
    </w:p>
    <w:p w14:paraId="334AC1DD" w14:textId="77777777" w:rsidR="00DF24F9" w:rsidRDefault="00DF24F9" w:rsidP="00DF24F9">
      <w:pPr>
        <w:pStyle w:val="NormalWeb"/>
        <w:rPr>
          <w:color w:val="000000"/>
        </w:rPr>
      </w:pPr>
      <w:r>
        <w:rPr>
          <w:color w:val="000000"/>
        </w:rPr>
        <w:t>Optional Framework Reference</w:t>
      </w:r>
      <w:r>
        <w:rPr>
          <w:color w:val="000000"/>
        </w:rPr>
        <w:br/>
        <w:t>• DAMA-DMBOK-aligned data governance principles to reinforce ownership, quality, and permitted use discipline</w:t>
      </w:r>
    </w:p>
    <w:p w14:paraId="55FC1739" w14:textId="77777777" w:rsidR="00DF24F9" w:rsidRDefault="00DF24F9" w:rsidP="00DF24F9">
      <w:pPr>
        <w:pStyle w:val="NormalWeb"/>
        <w:rPr>
          <w:color w:val="000000"/>
        </w:rPr>
      </w:pPr>
      <w:r w:rsidRPr="00DF24F9">
        <w:rPr>
          <w:b/>
          <w:bCs/>
          <w:color w:val="000000"/>
        </w:rPr>
        <w:t>Operating Discipline &amp; Monitoring</w:t>
      </w:r>
      <w:r>
        <w:rPr>
          <w:color w:val="000000"/>
        </w:rPr>
        <w:br/>
        <w:t>This stage operationalizes governance through repeatable workflows—how changes are approved, exceptions are handled, data issues are logged and resolved, and quality signals are monitored over time. We define a reporting cadence and metrics that show whether controls are working and where drift is occurring, so governance remains active rather than static documentation. The outcome is measurable oversight that improves reliability and sustains stakeholder confidence.</w:t>
      </w:r>
      <w:r>
        <w:rPr>
          <w:color w:val="000000"/>
        </w:rPr>
        <w:br/>
        <w:t>Purpose</w:t>
      </w:r>
      <w:r>
        <w:rPr>
          <w:color w:val="000000"/>
        </w:rPr>
        <w:br/>
        <w:t>• Define repeatable workflows for approvals, changes, and exceptions</w:t>
      </w:r>
      <w:r>
        <w:rPr>
          <w:color w:val="000000"/>
        </w:rPr>
        <w:br/>
        <w:t>• Establish monitoring metrics and reporting cadence</w:t>
      </w:r>
      <w:r>
        <w:rPr>
          <w:color w:val="000000"/>
        </w:rPr>
        <w:br/>
        <w:t>• Create a controlled mechanism for continuous refinement</w:t>
      </w:r>
      <w:r>
        <w:rPr>
          <w:color w:val="000000"/>
        </w:rPr>
        <w:br/>
        <w:t>Why It Matters</w:t>
      </w:r>
      <w:r>
        <w:rPr>
          <w:color w:val="000000"/>
        </w:rPr>
        <w:br/>
        <w:t>• Prevents governance drift and control decay over time</w:t>
      </w:r>
      <w:r>
        <w:rPr>
          <w:color w:val="000000"/>
        </w:rPr>
        <w:br/>
        <w:t>• Improves reliability and reduces disruption risk</w:t>
      </w:r>
      <w:r>
        <w:rPr>
          <w:color w:val="000000"/>
        </w:rPr>
        <w:br/>
        <w:t>• Creates measurable oversight for stakeholder confidence</w:t>
      </w:r>
    </w:p>
    <w:p w14:paraId="7E98860C" w14:textId="400A4BAE" w:rsidR="00EC2045" w:rsidRPr="00DF24F9" w:rsidRDefault="00EC2045" w:rsidP="00DF24F9"/>
    <w:sectPr w:rsidR="00EC2045" w:rsidRPr="00DF24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162EA80"/>
    <w:lvl w:ilvl="0">
      <w:start w:val="1"/>
      <w:numFmt w:val="bullet"/>
      <w:pStyle w:val="ListBullet"/>
      <w:lvlText w:val=""/>
      <w:lvlJc w:val="left"/>
      <w:pPr>
        <w:tabs>
          <w:tab w:val="num" w:pos="360"/>
        </w:tabs>
        <w:ind w:left="360" w:hanging="360"/>
      </w:pPr>
      <w:rPr>
        <w:rFonts w:ascii="Symbol" w:hAnsi="Symbol" w:hint="default"/>
      </w:rPr>
    </w:lvl>
  </w:abstractNum>
  <w:num w:numId="1" w16cid:durableId="100995797">
    <w:abstractNumId w:val="8"/>
  </w:num>
  <w:num w:numId="2" w16cid:durableId="1090351427">
    <w:abstractNumId w:val="6"/>
  </w:num>
  <w:num w:numId="3" w16cid:durableId="1109008143">
    <w:abstractNumId w:val="5"/>
  </w:num>
  <w:num w:numId="4" w16cid:durableId="2126928103">
    <w:abstractNumId w:val="4"/>
  </w:num>
  <w:num w:numId="5" w16cid:durableId="2143499854">
    <w:abstractNumId w:val="7"/>
  </w:num>
  <w:num w:numId="6" w16cid:durableId="1765300071">
    <w:abstractNumId w:val="3"/>
  </w:num>
  <w:num w:numId="7" w16cid:durableId="719280006">
    <w:abstractNumId w:val="2"/>
  </w:num>
  <w:num w:numId="8" w16cid:durableId="351030389">
    <w:abstractNumId w:val="1"/>
  </w:num>
  <w:num w:numId="9" w16cid:durableId="1131902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D6F65"/>
    <w:rsid w:val="00DF24F9"/>
    <w:rsid w:val="00EC20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B3709E"/>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F24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519</Words>
  <Characters>3837</Characters>
  <Application>Microsoft Office Word</Application>
  <DocSecurity>0</DocSecurity>
  <Lines>85</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2</cp:revision>
  <dcterms:created xsi:type="dcterms:W3CDTF">2013-12-23T23:15:00Z</dcterms:created>
  <dcterms:modified xsi:type="dcterms:W3CDTF">2026-02-01T20:22:00Z</dcterms:modified>
  <cp:category/>
</cp:coreProperties>
</file>