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F88D8" w14:textId="77777777" w:rsidR="00A43E20" w:rsidRDefault="00A43E20" w:rsidP="00A43E20">
      <w:pPr>
        <w:pStyle w:val="NormalWeb"/>
        <w:rPr>
          <w:color w:val="000000"/>
        </w:rPr>
      </w:pPr>
      <w:r w:rsidRPr="00A43E20">
        <w:rPr>
          <w:b/>
          <w:bCs/>
          <w:color w:val="000000"/>
        </w:rPr>
        <w:t>Digital Enablement &amp; IT Governance Services</w:t>
      </w:r>
      <w:r>
        <w:rPr>
          <w:color w:val="000000"/>
        </w:rPr>
        <w:br/>
        <w:t>Digital Enablement &amp; IT Governance Services provide independent governance and assurance to reduce technology-driven operational, financial, and regulatory risk. As cloud platforms, integrations, data pipelines, and automation execute business processes, weak governance translates into control failures, audit findings, and instability. Quantum delivers governance-first, control-driven services grounded in Clarity, Consistency, Compliance, Communication, Control, and Comprehensiveness, aligning technology decisions to practical operating discipline and defensible oversight. The outcome is clearer accountability, stronger control evidence, and scalable technology governance across the lifecycle.</w:t>
      </w:r>
    </w:p>
    <w:p w14:paraId="7861AC5E" w14:textId="77777777" w:rsidR="00A43E20" w:rsidRDefault="00A43E20" w:rsidP="00A43E20">
      <w:pPr>
        <w:pStyle w:val="NormalWeb"/>
        <w:rPr>
          <w:color w:val="000000"/>
        </w:rPr>
      </w:pPr>
      <w:r w:rsidRPr="00A43E20">
        <w:rPr>
          <w:b/>
          <w:bCs/>
          <w:color w:val="000000"/>
        </w:rPr>
        <w:t>Technology Governance Discovery &amp; Scope</w:t>
      </w:r>
      <w:r>
        <w:rPr>
          <w:color w:val="000000"/>
        </w:rPr>
        <w:br/>
        <w:t>This stage establishes a clear understanding of how technology enables critical business processes and where risk concentrates across systems, vendors, and data flows. We define governance objectives, scope boundaries, and decision-right expectations so oversight is structured rather than reactive. The result is a focused engagement plan that prioritizes the highest-risk areas first.</w:t>
      </w:r>
      <w:r>
        <w:rPr>
          <w:color w:val="000000"/>
        </w:rPr>
        <w:br/>
        <w:t>Purpose</w:t>
      </w:r>
      <w:r>
        <w:rPr>
          <w:color w:val="000000"/>
        </w:rPr>
        <w:br/>
        <w:t>• Understand the technology landscape, critical processes, and risk drivers</w:t>
      </w:r>
      <w:r>
        <w:rPr>
          <w:color w:val="000000"/>
        </w:rPr>
        <w:br/>
        <w:t>• Define governance objectives, boundaries, and decision rights expectations</w:t>
      </w:r>
      <w:r>
        <w:rPr>
          <w:color w:val="000000"/>
        </w:rPr>
        <w:br/>
        <w:t>• Establish priorities and a structured engagement plan</w:t>
      </w:r>
      <w:r>
        <w:rPr>
          <w:color w:val="000000"/>
        </w:rPr>
        <w:br/>
        <w:t>Why It Matters</w:t>
      </w:r>
      <w:r>
        <w:rPr>
          <w:color w:val="000000"/>
        </w:rPr>
        <w:br/>
        <w:t>• Creates clarity on what must be governed and why</w:t>
      </w:r>
      <w:r>
        <w:rPr>
          <w:color w:val="000000"/>
        </w:rPr>
        <w:br/>
        <w:t>• Prevents fragmented oversight and inconsistent decision-making</w:t>
      </w:r>
      <w:r>
        <w:rPr>
          <w:color w:val="000000"/>
        </w:rPr>
        <w:br/>
        <w:t>• Improves control over risk and accountability from the start</w:t>
      </w:r>
    </w:p>
    <w:p w14:paraId="561E938C" w14:textId="77777777" w:rsidR="00A43E20" w:rsidRDefault="00A43E20" w:rsidP="00A43E20">
      <w:pPr>
        <w:pStyle w:val="NormalWeb"/>
        <w:rPr>
          <w:color w:val="000000"/>
        </w:rPr>
      </w:pPr>
      <w:r w:rsidRPr="00A43E20">
        <w:rPr>
          <w:b/>
          <w:bCs/>
          <w:color w:val="000000"/>
        </w:rPr>
        <w:t>Current-State Assessment &amp; Risk Baseline</w:t>
      </w:r>
      <w:r>
        <w:rPr>
          <w:color w:val="000000"/>
        </w:rPr>
        <w:br/>
        <w:t>This stage evaluates governance maturity across policies, controls, and day-to-day operating practices to identify where gaps create audit, security, or operational exposure. We establish a practical baseline that can be measured and improved over time, rather than relying on informal assumptions. The outcome is a clear risk profile and a defensible starting point for governance enhancement.</w:t>
      </w:r>
      <w:r>
        <w:rPr>
          <w:color w:val="000000"/>
        </w:rPr>
        <w:br/>
        <w:t>Purpose</w:t>
      </w:r>
      <w:r>
        <w:rPr>
          <w:color w:val="000000"/>
        </w:rPr>
        <w:br/>
        <w:t>• Assess governance maturity across controls, policies, and operating practices</w:t>
      </w:r>
      <w:r>
        <w:rPr>
          <w:color w:val="000000"/>
        </w:rPr>
        <w:br/>
        <w:t>• Identify gaps that create audit, security, and operational exposure</w:t>
      </w:r>
      <w:r>
        <w:rPr>
          <w:color w:val="000000"/>
        </w:rPr>
        <w:br/>
        <w:t>• Define a baseline for measurable improvement</w:t>
      </w:r>
      <w:r>
        <w:rPr>
          <w:color w:val="000000"/>
        </w:rPr>
        <w:br/>
        <w:t>Why It Matters</w:t>
      </w:r>
      <w:r>
        <w:rPr>
          <w:color w:val="000000"/>
        </w:rPr>
        <w:br/>
        <w:t>• Improves confidence in the reliability of technology-enabled processes</w:t>
      </w:r>
      <w:r>
        <w:rPr>
          <w:color w:val="000000"/>
        </w:rPr>
        <w:br/>
        <w:t>• Reduces risk of control failures and preventable incidents</w:t>
      </w:r>
      <w:r>
        <w:rPr>
          <w:color w:val="000000"/>
        </w:rPr>
        <w:br/>
        <w:t>• Creates a defensible starting point for governance enhancement</w:t>
      </w:r>
    </w:p>
    <w:p w14:paraId="6E0F565F" w14:textId="77777777" w:rsidR="00A43E20" w:rsidRDefault="00A43E20" w:rsidP="00A43E20">
      <w:pPr>
        <w:pStyle w:val="NormalWeb"/>
        <w:rPr>
          <w:color w:val="000000"/>
        </w:rPr>
      </w:pPr>
      <w:r w:rsidRPr="00A43E20">
        <w:rPr>
          <w:b/>
          <w:bCs/>
          <w:color w:val="000000"/>
        </w:rPr>
        <w:t>Governance Model &amp; Control Design</w:t>
      </w:r>
      <w:r>
        <w:rPr>
          <w:color w:val="000000"/>
        </w:rPr>
        <w:br/>
        <w:t xml:space="preserve">This stage defines how governance operates in practice—who owns what, how decisions are escalated, and what oversight mechanisms enforce accountability. We design practical controls across access, change, data handling, and vendor dependencies, with documentation standards that make evidence repeatable and </w:t>
      </w:r>
      <w:proofErr w:type="gramStart"/>
      <w:r>
        <w:rPr>
          <w:color w:val="000000"/>
        </w:rPr>
        <w:t>audit-ready</w:t>
      </w:r>
      <w:proofErr w:type="gramEnd"/>
      <w:r>
        <w:rPr>
          <w:color w:val="000000"/>
        </w:rPr>
        <w:t xml:space="preserve">. The outcome is </w:t>
      </w:r>
      <w:r>
        <w:rPr>
          <w:color w:val="000000"/>
        </w:rPr>
        <w:lastRenderedPageBreak/>
        <w:t>a scalable governance model that reduces ambiguity while strengthening control execution.</w:t>
      </w:r>
      <w:r>
        <w:rPr>
          <w:color w:val="000000"/>
        </w:rPr>
        <w:br/>
        <w:t>Purpose</w:t>
      </w:r>
      <w:r>
        <w:rPr>
          <w:color w:val="000000"/>
        </w:rPr>
        <w:br/>
        <w:t>• Define roles, ownership, escalation paths, and oversight mechanisms</w:t>
      </w:r>
      <w:r>
        <w:rPr>
          <w:color w:val="000000"/>
        </w:rPr>
        <w:br/>
        <w:t>• Design practical controls for access, change, data handling, and vendor dependencies</w:t>
      </w:r>
      <w:r>
        <w:rPr>
          <w:color w:val="000000"/>
        </w:rPr>
        <w:br/>
        <w:t>• Establish documentation standards for consistent execution</w:t>
      </w:r>
      <w:r>
        <w:rPr>
          <w:color w:val="000000"/>
        </w:rPr>
        <w:br/>
        <w:t>Why It Matters</w:t>
      </w:r>
      <w:r>
        <w:rPr>
          <w:color w:val="000000"/>
        </w:rPr>
        <w:br/>
        <w:t>• Improves operational control and reduces ambiguity</w:t>
      </w:r>
      <w:r>
        <w:rPr>
          <w:color w:val="000000"/>
        </w:rPr>
        <w:br/>
        <w:t>• Strengthens audit defensibility with clear evidence expectations</w:t>
      </w:r>
      <w:r>
        <w:rPr>
          <w:color w:val="000000"/>
        </w:rPr>
        <w:br/>
        <w:t>• Enables scalable governance as technology complexity increases</w:t>
      </w:r>
    </w:p>
    <w:p w14:paraId="5D7165A8" w14:textId="77777777" w:rsidR="00A43E20" w:rsidRDefault="00A43E20" w:rsidP="00A43E20">
      <w:pPr>
        <w:pStyle w:val="NormalWeb"/>
        <w:rPr>
          <w:color w:val="000000"/>
        </w:rPr>
      </w:pPr>
      <w:r>
        <w:rPr>
          <w:color w:val="000000"/>
        </w:rPr>
        <w:t>Optional Framework Reference</w:t>
      </w:r>
      <w:r>
        <w:rPr>
          <w:color w:val="000000"/>
        </w:rPr>
        <w:br/>
        <w:t>• COBIT and ISO/IEC 38500-aligned governance principles to reinforce oversight credibility</w:t>
      </w:r>
    </w:p>
    <w:p w14:paraId="6255D47E" w14:textId="77777777" w:rsidR="00A43E20" w:rsidRDefault="00A43E20" w:rsidP="00A43E20">
      <w:pPr>
        <w:pStyle w:val="NormalWeb"/>
        <w:rPr>
          <w:color w:val="000000"/>
        </w:rPr>
      </w:pPr>
      <w:r w:rsidRPr="00A43E20">
        <w:rPr>
          <w:b/>
          <w:bCs/>
          <w:color w:val="000000"/>
        </w:rPr>
        <w:t>Policy, Standards &amp; Operating Discipline</w:t>
      </w:r>
      <w:r>
        <w:rPr>
          <w:color w:val="000000"/>
        </w:rPr>
        <w:br/>
        <w:t>This stage converts governance intent into clear, usable policies and standards that teams can execute consistently. We define repeatable workflows for approvals, changes, and exceptions, and establish monitoring and reporting expectations so governance is enforced through operating discipline. The result is more predictable execution with fewer ad hoc decisions and fewer undocumented exceptions.</w:t>
      </w:r>
      <w:r>
        <w:rPr>
          <w:color w:val="000000"/>
        </w:rPr>
        <w:br/>
        <w:t>Purpose</w:t>
      </w:r>
      <w:r>
        <w:rPr>
          <w:color w:val="000000"/>
        </w:rPr>
        <w:br/>
        <w:t>• Translate governance into clear policies, standards, and procedures</w:t>
      </w:r>
      <w:r>
        <w:rPr>
          <w:color w:val="000000"/>
        </w:rPr>
        <w:br/>
        <w:t>• Define repeatable workflows for approvals, changes, and exceptions</w:t>
      </w:r>
      <w:r>
        <w:rPr>
          <w:color w:val="000000"/>
        </w:rPr>
        <w:br/>
        <w:t>• Establish monitoring and reporting expectations</w:t>
      </w:r>
      <w:r>
        <w:rPr>
          <w:color w:val="000000"/>
        </w:rPr>
        <w:br/>
        <w:t>Why It Matters</w:t>
      </w:r>
      <w:r>
        <w:rPr>
          <w:color w:val="000000"/>
        </w:rPr>
        <w:br/>
        <w:t>• Improves consistency and reduces operational friction</w:t>
      </w:r>
      <w:r>
        <w:rPr>
          <w:color w:val="000000"/>
        </w:rPr>
        <w:br/>
        <w:t>• Reduces risk from ad hoc decisions and undocumented practices</w:t>
      </w:r>
      <w:r>
        <w:rPr>
          <w:color w:val="000000"/>
        </w:rPr>
        <w:br/>
        <w:t>• Creates predictable execution that supports compliance requirements</w:t>
      </w:r>
    </w:p>
    <w:p w14:paraId="11C5C649" w14:textId="77777777" w:rsidR="00A43E20" w:rsidRDefault="00A43E20" w:rsidP="00A43E20">
      <w:pPr>
        <w:pStyle w:val="NormalWeb"/>
        <w:rPr>
          <w:color w:val="000000"/>
        </w:rPr>
      </w:pPr>
      <w:r w:rsidRPr="00A43E20">
        <w:rPr>
          <w:b/>
          <w:bCs/>
          <w:color w:val="000000"/>
        </w:rPr>
        <w:t>Assurance Checkpoints &amp; Stakeholder Readiness</w:t>
      </w:r>
      <w:r w:rsidRPr="00A43E20">
        <w:rPr>
          <w:b/>
          <w:bCs/>
          <w:color w:val="000000"/>
        </w:rPr>
        <w:br/>
      </w:r>
      <w:r>
        <w:rPr>
          <w:color w:val="000000"/>
        </w:rPr>
        <w:t>This stage provides independent assurance during high-risk initiatives, major changes, or readiness events where governance and controls will be scrutinized. We validate control evidence, documentation completeness, and operational readiness, then provide clear reporting aligned to audit and compliance needs. The outcome is fewer late-stage surprises, reduced rework, and stronger confidence during stakeholder reviews.</w:t>
      </w:r>
      <w:r>
        <w:rPr>
          <w:color w:val="000000"/>
        </w:rPr>
        <w:br/>
        <w:t>Purpose</w:t>
      </w:r>
      <w:r>
        <w:rPr>
          <w:color w:val="000000"/>
        </w:rPr>
        <w:br/>
        <w:t>• Provide independent checkpoints for high-risk initiatives and changes</w:t>
      </w:r>
      <w:r>
        <w:rPr>
          <w:color w:val="000000"/>
        </w:rPr>
        <w:br/>
        <w:t>• Validate control evidence, documentation completeness, and readiness</w:t>
      </w:r>
      <w:r>
        <w:rPr>
          <w:color w:val="000000"/>
        </w:rPr>
        <w:br/>
        <w:t>• Support audit and compliance alignment with clear reporting</w:t>
      </w:r>
      <w:r>
        <w:rPr>
          <w:color w:val="000000"/>
        </w:rPr>
        <w:br/>
        <w:t>Why It Matters</w:t>
      </w:r>
      <w:r>
        <w:rPr>
          <w:color w:val="000000"/>
        </w:rPr>
        <w:br/>
        <w:t>• Reduces late discovery of control issues and rework</w:t>
      </w:r>
      <w:r>
        <w:rPr>
          <w:color w:val="000000"/>
        </w:rPr>
        <w:br/>
        <w:t>• Improves confidence under scrutiny and during audits</w:t>
      </w:r>
      <w:r>
        <w:rPr>
          <w:color w:val="000000"/>
        </w:rPr>
        <w:br/>
        <w:t>• Strengthens stakeholder trust in technology governance outcomes</w:t>
      </w:r>
    </w:p>
    <w:p w14:paraId="6B549032" w14:textId="77777777" w:rsidR="00A43E20" w:rsidRDefault="00A43E20" w:rsidP="00A43E20">
      <w:pPr>
        <w:pStyle w:val="NormalWeb"/>
        <w:rPr>
          <w:color w:val="000000"/>
        </w:rPr>
      </w:pPr>
      <w:r w:rsidRPr="00A43E20">
        <w:rPr>
          <w:b/>
          <w:bCs/>
          <w:color w:val="000000"/>
        </w:rPr>
        <w:lastRenderedPageBreak/>
        <w:t>Continuous Improvement &amp; Governance Sustainment</w:t>
      </w:r>
      <w:r>
        <w:rPr>
          <w:color w:val="000000"/>
        </w:rPr>
        <w:br/>
        <w:t>This stage ensures governance remains effective as systems, vendors, and regulations change. We track governance performance, recurring exceptions, and control breakdown themes, then refine controls, documentation, and accountability mechanisms to prevent drift. The result is sustained compliance readiness and scalable resilience across evolving technology operations.</w:t>
      </w:r>
      <w:r>
        <w:rPr>
          <w:color w:val="000000"/>
        </w:rPr>
        <w:br/>
        <w:t>Purpose</w:t>
      </w:r>
      <w:r>
        <w:rPr>
          <w:color w:val="000000"/>
        </w:rPr>
        <w:br/>
        <w:t>• Track governance performance and recurring exception themes</w:t>
      </w:r>
      <w:r>
        <w:rPr>
          <w:color w:val="000000"/>
        </w:rPr>
        <w:br/>
        <w:t>• Refine controls, documentation, and accountability mechanisms</w:t>
      </w:r>
      <w:r>
        <w:rPr>
          <w:color w:val="000000"/>
        </w:rPr>
        <w:br/>
        <w:t>• Maintain alignment as technologies and regulations evolve</w:t>
      </w:r>
      <w:r>
        <w:rPr>
          <w:color w:val="000000"/>
        </w:rPr>
        <w:br/>
        <w:t>Why It Matters</w:t>
      </w:r>
      <w:r>
        <w:rPr>
          <w:color w:val="000000"/>
        </w:rPr>
        <w:br/>
        <w:t>• Prevents governance drift over time</w:t>
      </w:r>
      <w:r>
        <w:rPr>
          <w:color w:val="000000"/>
        </w:rPr>
        <w:br/>
        <w:t>• Improves resilience and scalability of technology operations</w:t>
      </w:r>
      <w:r>
        <w:rPr>
          <w:color w:val="000000"/>
        </w:rPr>
        <w:br/>
        <w:t>• Sustains compliance readiness with predictable discipline</w:t>
      </w:r>
    </w:p>
    <w:p w14:paraId="2A99AD33" w14:textId="24227502" w:rsidR="0044401C" w:rsidRPr="00A43E20" w:rsidRDefault="0044401C" w:rsidP="00A43E20"/>
    <w:sectPr w:rsidR="0044401C" w:rsidRPr="00A43E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EEAAE18"/>
    <w:lvl w:ilvl="0">
      <w:start w:val="1"/>
      <w:numFmt w:val="bullet"/>
      <w:pStyle w:val="ListBullet"/>
      <w:lvlText w:val=""/>
      <w:lvlJc w:val="left"/>
      <w:pPr>
        <w:tabs>
          <w:tab w:val="num" w:pos="360"/>
        </w:tabs>
        <w:ind w:left="360" w:hanging="360"/>
      </w:pPr>
      <w:rPr>
        <w:rFonts w:ascii="Symbol" w:hAnsi="Symbol" w:hint="default"/>
      </w:rPr>
    </w:lvl>
  </w:abstractNum>
  <w:num w:numId="1" w16cid:durableId="428477121">
    <w:abstractNumId w:val="8"/>
  </w:num>
  <w:num w:numId="2" w16cid:durableId="337662071">
    <w:abstractNumId w:val="6"/>
  </w:num>
  <w:num w:numId="3" w16cid:durableId="383412426">
    <w:abstractNumId w:val="5"/>
  </w:num>
  <w:num w:numId="4" w16cid:durableId="111443265">
    <w:abstractNumId w:val="4"/>
  </w:num>
  <w:num w:numId="5" w16cid:durableId="1681665168">
    <w:abstractNumId w:val="7"/>
  </w:num>
  <w:num w:numId="6" w16cid:durableId="1501384102">
    <w:abstractNumId w:val="3"/>
  </w:num>
  <w:num w:numId="7" w16cid:durableId="1087967021">
    <w:abstractNumId w:val="2"/>
  </w:num>
  <w:num w:numId="8" w16cid:durableId="1630738979">
    <w:abstractNumId w:val="1"/>
  </w:num>
  <w:num w:numId="9" w16cid:durableId="798449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01C"/>
    <w:rsid w:val="00A43E20"/>
    <w:rsid w:val="00AA1D8D"/>
    <w:rsid w:val="00B47730"/>
    <w:rsid w:val="00CB0664"/>
    <w:rsid w:val="00CD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45388"/>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43E2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710</Words>
  <Characters>5240</Characters>
  <Application>Microsoft Office Word</Application>
  <DocSecurity>0</DocSecurity>
  <Lines>113</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2026-02-01T20:17:00Z</dcterms:modified>
  <cp:category/>
</cp:coreProperties>
</file>