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FC0E7" w14:textId="77777777" w:rsidR="007E2ADE" w:rsidRDefault="007E2ADE" w:rsidP="007E2ADE">
      <w:pPr>
        <w:pStyle w:val="Heading2"/>
        <w:rPr>
          <w:color w:val="000000"/>
        </w:rPr>
      </w:pPr>
      <w:r>
        <w:rPr>
          <w:color w:val="000000"/>
        </w:rPr>
        <w:t>IT General Controls &amp; Cybersecurity Governance</w:t>
      </w:r>
    </w:p>
    <w:p w14:paraId="15085548" w14:textId="0D5DCAAB" w:rsidR="007E2ADE" w:rsidRDefault="007E2ADE" w:rsidP="007E2ADE">
      <w:pPr>
        <w:pStyle w:val="Heading3"/>
        <w:rPr>
          <w:color w:val="000000"/>
        </w:rPr>
      </w:pPr>
      <w:r>
        <w:rPr>
          <w:color w:val="000000"/>
        </w:rPr>
        <w:t xml:space="preserve">Service Summary </w:t>
      </w:r>
    </w:p>
    <w:p w14:paraId="7BBC6C44" w14:textId="77777777" w:rsidR="007E2ADE" w:rsidRDefault="007E2ADE" w:rsidP="007E2ADE">
      <w:pPr>
        <w:pStyle w:val="NormalWeb"/>
        <w:rPr>
          <w:color w:val="000000"/>
        </w:rPr>
      </w:pPr>
      <w:r>
        <w:rPr>
          <w:color w:val="000000"/>
        </w:rPr>
        <w:t>IT General Controls &amp; Cybersecurity Governance establishes disciplined oversight to manage access, change, and operational resilience controls that underpin system reliability and audit outcomes with clear accountability, consistent controls, and defensible documentation. As technology complexity grows, unmanaged decisions in this area can create operational instability, control failures, and regulatory exposure. Quantum delivers governance-first, control-driven advisory grounded in</w:t>
      </w:r>
      <w:r>
        <w:rPr>
          <w:rStyle w:val="apple-converted-space"/>
          <w:color w:val="000000"/>
        </w:rPr>
        <w:t> </w:t>
      </w:r>
      <w:r>
        <w:rPr>
          <w:rStyle w:val="Strong"/>
          <w:rFonts w:eastAsiaTheme="majorEastAsia"/>
          <w:color w:val="000000"/>
        </w:rPr>
        <w:t>Clarity, Consistency, Compliance, Communication, Control, and Comprehensiveness</w:t>
      </w:r>
      <w:r>
        <w:rPr>
          <w:color w:val="000000"/>
        </w:rPr>
        <w:t>, translating framework expectations into practical operating discipline. The outcome is improved reliability, audit defensibility, and scalable governance aligned to enterprise needs.</w:t>
      </w:r>
    </w:p>
    <w:p w14:paraId="069266FD" w14:textId="77777777" w:rsidR="007E2ADE" w:rsidRDefault="009E10E0" w:rsidP="007E2ADE">
      <w:r>
        <w:rPr>
          <w:noProof/>
        </w:rPr>
        <w:pict w14:anchorId="009A4BEF">
          <v:rect id="_x0000_i1028" alt="" style="width:398.75pt;height:.05pt;mso-width-percent:0;mso-height-percent:0;mso-width-percent:0;mso-height-percent:0" o:hrpct="852" o:hralign="center" o:hrstd="t" o:hr="t" fillcolor="#a0a0a0" stroked="f"/>
        </w:pict>
      </w:r>
    </w:p>
    <w:p w14:paraId="3985BC2C" w14:textId="77777777" w:rsidR="007E2ADE" w:rsidRDefault="007E2ADE" w:rsidP="007E2ADE">
      <w:pPr>
        <w:pStyle w:val="Heading3"/>
        <w:rPr>
          <w:color w:val="000000"/>
        </w:rPr>
      </w:pPr>
      <w:r>
        <w:rPr>
          <w:color w:val="000000"/>
        </w:rPr>
        <w:t>Discovery &amp; Operating Context</w:t>
      </w:r>
    </w:p>
    <w:p w14:paraId="5A90A9AB" w14:textId="77777777" w:rsidR="007E2ADE" w:rsidRDefault="007E2ADE" w:rsidP="007E2ADE">
      <w:pPr>
        <w:pStyle w:val="NormalWeb"/>
        <w:rPr>
          <w:color w:val="000000"/>
        </w:rPr>
      </w:pPr>
      <w:r>
        <w:rPr>
          <w:color w:val="000000"/>
        </w:rPr>
        <w:t>This phase identifies which systems, applications, and infrastructure truly drive operational continuity and reporting integrity, so control focus is proportional to risk. It also clarifies the “control perimeter” across internal teams and vendors, including where responsibilities shift and where accountability commonly becomes unclear.</w:t>
      </w:r>
      <w:r>
        <w:rPr>
          <w:color w:val="000000"/>
        </w:rPr>
        <w:br/>
      </w:r>
      <w:r>
        <w:rPr>
          <w:rStyle w:val="Strong"/>
          <w:rFonts w:eastAsiaTheme="majorEastAsia"/>
          <w:color w:val="000000"/>
        </w:rPr>
        <w:t>Purpose</w:t>
      </w:r>
    </w:p>
    <w:p w14:paraId="7AC9DC1C" w14:textId="77777777" w:rsidR="007E2ADE" w:rsidRDefault="007E2ADE" w:rsidP="007E2ADE">
      <w:pPr>
        <w:pStyle w:val="NormalWeb"/>
        <w:numPr>
          <w:ilvl w:val="0"/>
          <w:numId w:val="10"/>
        </w:numPr>
        <w:rPr>
          <w:color w:val="000000"/>
        </w:rPr>
      </w:pPr>
      <w:r>
        <w:rPr>
          <w:color w:val="000000"/>
        </w:rPr>
        <w:t>Understand the service area scope, dependencies, and decision points</w:t>
      </w:r>
    </w:p>
    <w:p w14:paraId="2D0E19F4" w14:textId="77777777" w:rsidR="007E2ADE" w:rsidRDefault="007E2ADE" w:rsidP="007E2ADE">
      <w:pPr>
        <w:pStyle w:val="NormalWeb"/>
        <w:numPr>
          <w:ilvl w:val="0"/>
          <w:numId w:val="10"/>
        </w:numPr>
        <w:rPr>
          <w:color w:val="000000"/>
        </w:rPr>
      </w:pPr>
      <w:r>
        <w:rPr>
          <w:color w:val="000000"/>
        </w:rPr>
        <w:t>Identify critical risks, compliance needs, and stakeholder expectations</w:t>
      </w:r>
    </w:p>
    <w:p w14:paraId="1106822E" w14:textId="77777777" w:rsidR="007E2ADE" w:rsidRDefault="007E2ADE" w:rsidP="007E2ADE">
      <w:pPr>
        <w:pStyle w:val="NormalWeb"/>
        <w:numPr>
          <w:ilvl w:val="0"/>
          <w:numId w:val="10"/>
        </w:numPr>
        <w:rPr>
          <w:color w:val="000000"/>
        </w:rPr>
      </w:pPr>
      <w:r>
        <w:rPr>
          <w:color w:val="000000"/>
        </w:rPr>
        <w:t>Define objectives, boundaries, and accountability requirements</w:t>
      </w:r>
    </w:p>
    <w:p w14:paraId="41BCDEB3" w14:textId="77777777" w:rsidR="007E2ADE" w:rsidRDefault="007E2ADE" w:rsidP="007E2ADE">
      <w:pPr>
        <w:pStyle w:val="NormalWeb"/>
        <w:rPr>
          <w:color w:val="000000"/>
        </w:rPr>
      </w:pPr>
      <w:r>
        <w:rPr>
          <w:rStyle w:val="Strong"/>
          <w:rFonts w:eastAsiaTheme="majorEastAsia"/>
          <w:color w:val="000000"/>
        </w:rPr>
        <w:t>Why It Matters</w:t>
      </w:r>
    </w:p>
    <w:p w14:paraId="05B85784" w14:textId="77777777" w:rsidR="007E2ADE" w:rsidRDefault="007E2ADE" w:rsidP="007E2ADE">
      <w:pPr>
        <w:pStyle w:val="NormalWeb"/>
        <w:numPr>
          <w:ilvl w:val="0"/>
          <w:numId w:val="11"/>
        </w:numPr>
        <w:rPr>
          <w:color w:val="000000"/>
        </w:rPr>
      </w:pPr>
      <w:r>
        <w:rPr>
          <w:color w:val="000000"/>
        </w:rPr>
        <w:t>Creates clarity on what must be governed and why</w:t>
      </w:r>
    </w:p>
    <w:p w14:paraId="0C02184E" w14:textId="77777777" w:rsidR="007E2ADE" w:rsidRDefault="007E2ADE" w:rsidP="007E2ADE">
      <w:pPr>
        <w:pStyle w:val="NormalWeb"/>
        <w:numPr>
          <w:ilvl w:val="0"/>
          <w:numId w:val="11"/>
        </w:numPr>
        <w:rPr>
          <w:color w:val="000000"/>
        </w:rPr>
      </w:pPr>
      <w:r>
        <w:rPr>
          <w:color w:val="000000"/>
        </w:rPr>
        <w:t>Prevents fragmented oversight and inconsistent decisions</w:t>
      </w:r>
    </w:p>
    <w:p w14:paraId="476B2866" w14:textId="77777777" w:rsidR="007E2ADE" w:rsidRDefault="007E2ADE" w:rsidP="007E2ADE">
      <w:pPr>
        <w:pStyle w:val="NormalWeb"/>
        <w:numPr>
          <w:ilvl w:val="0"/>
          <w:numId w:val="11"/>
        </w:numPr>
        <w:rPr>
          <w:color w:val="000000"/>
        </w:rPr>
      </w:pPr>
      <w:r>
        <w:rPr>
          <w:color w:val="000000"/>
        </w:rPr>
        <w:t>Improves control over risk from the start</w:t>
      </w:r>
    </w:p>
    <w:p w14:paraId="74F9B681" w14:textId="77777777" w:rsidR="007E2ADE" w:rsidRDefault="009E10E0" w:rsidP="007E2ADE">
      <w:r>
        <w:rPr>
          <w:noProof/>
        </w:rPr>
        <w:pict w14:anchorId="030A4D91">
          <v:rect id="_x0000_i1027" alt="" style="width:398.75pt;height:.05pt;mso-width-percent:0;mso-height-percent:0;mso-width-percent:0;mso-height-percent:0" o:hrpct="852" o:hralign="center" o:hrstd="t" o:hr="t" fillcolor="#a0a0a0" stroked="f"/>
        </w:pict>
      </w:r>
    </w:p>
    <w:p w14:paraId="2ADB70D2" w14:textId="77777777" w:rsidR="007E2ADE" w:rsidRDefault="007E2ADE" w:rsidP="007E2ADE">
      <w:pPr>
        <w:pStyle w:val="Heading3"/>
        <w:rPr>
          <w:color w:val="000000"/>
        </w:rPr>
      </w:pPr>
      <w:r>
        <w:rPr>
          <w:color w:val="000000"/>
        </w:rPr>
        <w:t>Current-State Assessment &amp; Gap Analysis</w:t>
      </w:r>
    </w:p>
    <w:p w14:paraId="3F83E8CD" w14:textId="77777777" w:rsidR="007E2ADE" w:rsidRDefault="007E2ADE" w:rsidP="007E2ADE">
      <w:pPr>
        <w:pStyle w:val="NormalWeb"/>
        <w:rPr>
          <w:color w:val="000000"/>
        </w:rPr>
      </w:pPr>
      <w:r>
        <w:rPr>
          <w:color w:val="000000"/>
        </w:rPr>
        <w:t>This phase evaluates how controls work in practice by testing whether execution is consistent, evidenced, and repeatable—not just documented in policy. It also distinguishes control design weaknesses from operational breakdowns (incomplete approvals, inconsistent access reviews, poor evidence retention) so remediation is targeted and measurable.</w:t>
      </w:r>
      <w:r>
        <w:rPr>
          <w:color w:val="000000"/>
        </w:rPr>
        <w:br/>
      </w:r>
      <w:r>
        <w:rPr>
          <w:rStyle w:val="Strong"/>
          <w:rFonts w:eastAsiaTheme="majorEastAsia"/>
          <w:color w:val="000000"/>
        </w:rPr>
        <w:t>Purpose</w:t>
      </w:r>
    </w:p>
    <w:p w14:paraId="4286E95F" w14:textId="77777777" w:rsidR="007E2ADE" w:rsidRDefault="007E2ADE" w:rsidP="007E2ADE">
      <w:pPr>
        <w:pStyle w:val="NormalWeb"/>
        <w:numPr>
          <w:ilvl w:val="0"/>
          <w:numId w:val="12"/>
        </w:numPr>
        <w:rPr>
          <w:color w:val="000000"/>
        </w:rPr>
      </w:pPr>
      <w:r>
        <w:rPr>
          <w:color w:val="000000"/>
        </w:rPr>
        <w:t>Assess current practices, documentation, and control effectiveness</w:t>
      </w:r>
    </w:p>
    <w:p w14:paraId="4CB3C6BD" w14:textId="77777777" w:rsidR="007E2ADE" w:rsidRDefault="007E2ADE" w:rsidP="007E2ADE">
      <w:pPr>
        <w:pStyle w:val="NormalWeb"/>
        <w:numPr>
          <w:ilvl w:val="0"/>
          <w:numId w:val="12"/>
        </w:numPr>
        <w:rPr>
          <w:color w:val="000000"/>
        </w:rPr>
      </w:pPr>
      <w:r>
        <w:rPr>
          <w:color w:val="000000"/>
        </w:rPr>
        <w:lastRenderedPageBreak/>
        <w:t>Identify gaps, overlaps, and unmanaged risks</w:t>
      </w:r>
    </w:p>
    <w:p w14:paraId="27DC29B6" w14:textId="77777777" w:rsidR="007E2ADE" w:rsidRDefault="007E2ADE" w:rsidP="007E2ADE">
      <w:pPr>
        <w:pStyle w:val="NormalWeb"/>
        <w:numPr>
          <w:ilvl w:val="0"/>
          <w:numId w:val="12"/>
        </w:numPr>
        <w:rPr>
          <w:color w:val="000000"/>
        </w:rPr>
      </w:pPr>
      <w:r>
        <w:rPr>
          <w:color w:val="000000"/>
        </w:rPr>
        <w:t>Prioritize remediation based on impact and feasibility</w:t>
      </w:r>
    </w:p>
    <w:p w14:paraId="4438F7EB" w14:textId="77777777" w:rsidR="007E2ADE" w:rsidRDefault="007E2ADE" w:rsidP="007E2ADE">
      <w:pPr>
        <w:pStyle w:val="NormalWeb"/>
        <w:rPr>
          <w:color w:val="000000"/>
        </w:rPr>
      </w:pPr>
      <w:r>
        <w:rPr>
          <w:rStyle w:val="Strong"/>
          <w:rFonts w:eastAsiaTheme="majorEastAsia"/>
          <w:color w:val="000000"/>
        </w:rPr>
        <w:t>Why It Matters</w:t>
      </w:r>
    </w:p>
    <w:p w14:paraId="588BD32D" w14:textId="77777777" w:rsidR="007E2ADE" w:rsidRDefault="007E2ADE" w:rsidP="007E2ADE">
      <w:pPr>
        <w:pStyle w:val="NormalWeb"/>
        <w:numPr>
          <w:ilvl w:val="0"/>
          <w:numId w:val="13"/>
        </w:numPr>
        <w:rPr>
          <w:color w:val="000000"/>
        </w:rPr>
      </w:pPr>
      <w:r>
        <w:rPr>
          <w:color w:val="000000"/>
        </w:rPr>
        <w:t>Reduces exposure caused by undocumented or inconsistent practices</w:t>
      </w:r>
    </w:p>
    <w:p w14:paraId="07315944" w14:textId="77777777" w:rsidR="007E2ADE" w:rsidRDefault="007E2ADE" w:rsidP="007E2ADE">
      <w:pPr>
        <w:pStyle w:val="NormalWeb"/>
        <w:numPr>
          <w:ilvl w:val="0"/>
          <w:numId w:val="13"/>
        </w:numPr>
        <w:rPr>
          <w:color w:val="000000"/>
        </w:rPr>
      </w:pPr>
      <w:r>
        <w:rPr>
          <w:color w:val="000000"/>
        </w:rPr>
        <w:t>Improves audit defensibility through clearer evidence and ownership</w:t>
      </w:r>
    </w:p>
    <w:p w14:paraId="0B3A391C" w14:textId="77777777" w:rsidR="007E2ADE" w:rsidRDefault="007E2ADE" w:rsidP="007E2ADE">
      <w:pPr>
        <w:pStyle w:val="NormalWeb"/>
        <w:numPr>
          <w:ilvl w:val="0"/>
          <w:numId w:val="13"/>
        </w:numPr>
        <w:rPr>
          <w:color w:val="000000"/>
        </w:rPr>
      </w:pPr>
      <w:r>
        <w:rPr>
          <w:color w:val="000000"/>
        </w:rPr>
        <w:t>Creates a fact-based baseline for improvement</w:t>
      </w:r>
    </w:p>
    <w:p w14:paraId="53AD8B83" w14:textId="77777777" w:rsidR="007E2ADE" w:rsidRDefault="009E10E0" w:rsidP="007E2ADE">
      <w:r>
        <w:rPr>
          <w:noProof/>
        </w:rPr>
        <w:pict w14:anchorId="32602320">
          <v:rect id="_x0000_i1026" alt="" style="width:398.75pt;height:.05pt;mso-width-percent:0;mso-height-percent:0;mso-width-percent:0;mso-height-percent:0" o:hrpct="852" o:hralign="center" o:hrstd="t" o:hr="t" fillcolor="#a0a0a0" stroked="f"/>
        </w:pict>
      </w:r>
    </w:p>
    <w:p w14:paraId="43CDFE1A" w14:textId="77777777" w:rsidR="007E2ADE" w:rsidRDefault="007E2ADE" w:rsidP="007E2ADE">
      <w:pPr>
        <w:pStyle w:val="Heading3"/>
        <w:rPr>
          <w:color w:val="000000"/>
        </w:rPr>
      </w:pPr>
      <w:r>
        <w:rPr>
          <w:color w:val="000000"/>
        </w:rPr>
        <w:t>Governance Design &amp; Control Standards</w:t>
      </w:r>
    </w:p>
    <w:p w14:paraId="5099F94C" w14:textId="77777777" w:rsidR="007E2ADE" w:rsidRDefault="007E2ADE" w:rsidP="007E2ADE">
      <w:pPr>
        <w:pStyle w:val="NormalWeb"/>
        <w:rPr>
          <w:color w:val="000000"/>
        </w:rPr>
      </w:pPr>
      <w:r>
        <w:rPr>
          <w:color w:val="000000"/>
        </w:rPr>
        <w:t>This phase establishes the control operating model—who approves access, who governs change, how exceptions are handled, and what evidence is required to support defensibility. It also standardizes control expectations across teams and vendors so the same rules apply consistently regardless of who operates the environment.</w:t>
      </w:r>
      <w:r>
        <w:rPr>
          <w:color w:val="000000"/>
        </w:rPr>
        <w:br/>
      </w:r>
      <w:r>
        <w:rPr>
          <w:rStyle w:val="Strong"/>
          <w:rFonts w:eastAsiaTheme="majorEastAsia"/>
          <w:color w:val="000000"/>
        </w:rPr>
        <w:t>Purpose</w:t>
      </w:r>
    </w:p>
    <w:p w14:paraId="3DFDA7E2" w14:textId="77777777" w:rsidR="007E2ADE" w:rsidRDefault="007E2ADE" w:rsidP="007E2ADE">
      <w:pPr>
        <w:pStyle w:val="NormalWeb"/>
        <w:numPr>
          <w:ilvl w:val="0"/>
          <w:numId w:val="14"/>
        </w:numPr>
        <w:rPr>
          <w:color w:val="000000"/>
        </w:rPr>
      </w:pPr>
      <w:r>
        <w:rPr>
          <w:color w:val="000000"/>
        </w:rPr>
        <w:t>Define roles, decision rights, escalation paths, and oversight routines</w:t>
      </w:r>
    </w:p>
    <w:p w14:paraId="471E69AF" w14:textId="77777777" w:rsidR="007E2ADE" w:rsidRDefault="007E2ADE" w:rsidP="007E2ADE">
      <w:pPr>
        <w:pStyle w:val="NormalWeb"/>
        <w:numPr>
          <w:ilvl w:val="0"/>
          <w:numId w:val="14"/>
        </w:numPr>
        <w:rPr>
          <w:color w:val="000000"/>
        </w:rPr>
      </w:pPr>
      <w:r>
        <w:rPr>
          <w:color w:val="000000"/>
        </w:rPr>
        <w:t>Establish practical control standards and documentation expectations</w:t>
      </w:r>
    </w:p>
    <w:p w14:paraId="74C93D95" w14:textId="77777777" w:rsidR="007E2ADE" w:rsidRDefault="007E2ADE" w:rsidP="007E2ADE">
      <w:pPr>
        <w:pStyle w:val="NormalWeb"/>
        <w:numPr>
          <w:ilvl w:val="0"/>
          <w:numId w:val="14"/>
        </w:numPr>
        <w:rPr>
          <w:color w:val="000000"/>
        </w:rPr>
      </w:pPr>
      <w:r>
        <w:rPr>
          <w:color w:val="000000"/>
        </w:rPr>
        <w:t>Align governance to operating reality and scalability needs</w:t>
      </w:r>
    </w:p>
    <w:p w14:paraId="674C6341" w14:textId="77777777" w:rsidR="007E2ADE" w:rsidRDefault="007E2ADE" w:rsidP="007E2ADE">
      <w:pPr>
        <w:pStyle w:val="NormalWeb"/>
        <w:rPr>
          <w:color w:val="000000"/>
        </w:rPr>
      </w:pPr>
      <w:r>
        <w:rPr>
          <w:rStyle w:val="Strong"/>
          <w:rFonts w:eastAsiaTheme="majorEastAsia"/>
          <w:color w:val="000000"/>
        </w:rPr>
        <w:t>Why It Matters</w:t>
      </w:r>
    </w:p>
    <w:p w14:paraId="7888A4A1" w14:textId="77777777" w:rsidR="007E2ADE" w:rsidRDefault="007E2ADE" w:rsidP="007E2ADE">
      <w:pPr>
        <w:pStyle w:val="NormalWeb"/>
        <w:numPr>
          <w:ilvl w:val="0"/>
          <w:numId w:val="15"/>
        </w:numPr>
        <w:rPr>
          <w:color w:val="000000"/>
        </w:rPr>
      </w:pPr>
      <w:r>
        <w:rPr>
          <w:color w:val="000000"/>
        </w:rPr>
        <w:t>Improves operational control and accountability</w:t>
      </w:r>
    </w:p>
    <w:p w14:paraId="2D20A389" w14:textId="77777777" w:rsidR="007E2ADE" w:rsidRDefault="007E2ADE" w:rsidP="007E2ADE">
      <w:pPr>
        <w:pStyle w:val="NormalWeb"/>
        <w:numPr>
          <w:ilvl w:val="0"/>
          <w:numId w:val="15"/>
        </w:numPr>
        <w:rPr>
          <w:color w:val="000000"/>
        </w:rPr>
      </w:pPr>
      <w:r>
        <w:rPr>
          <w:color w:val="000000"/>
        </w:rPr>
        <w:t>Strengthens predictability and consistency across teams and vendors</w:t>
      </w:r>
    </w:p>
    <w:p w14:paraId="582E7996" w14:textId="77777777" w:rsidR="007E2ADE" w:rsidRDefault="007E2ADE" w:rsidP="007E2ADE">
      <w:pPr>
        <w:pStyle w:val="NormalWeb"/>
        <w:numPr>
          <w:ilvl w:val="0"/>
          <w:numId w:val="15"/>
        </w:numPr>
        <w:rPr>
          <w:color w:val="000000"/>
        </w:rPr>
      </w:pPr>
      <w:r>
        <w:rPr>
          <w:color w:val="000000"/>
        </w:rPr>
        <w:t>Supports scalable governance as complexity increases</w:t>
      </w:r>
    </w:p>
    <w:p w14:paraId="09FB5FE3" w14:textId="77777777" w:rsidR="007E2ADE" w:rsidRDefault="007E2ADE" w:rsidP="007E2ADE">
      <w:pPr>
        <w:pStyle w:val="NormalWeb"/>
        <w:rPr>
          <w:color w:val="000000"/>
        </w:rPr>
      </w:pPr>
      <w:r>
        <w:rPr>
          <w:rStyle w:val="Strong"/>
          <w:rFonts w:eastAsiaTheme="majorEastAsia"/>
          <w:color w:val="000000"/>
        </w:rPr>
        <w:t>Optional Framework Reference</w:t>
      </w:r>
    </w:p>
    <w:p w14:paraId="0B9A4CA1" w14:textId="77777777" w:rsidR="007E2ADE" w:rsidRDefault="007E2ADE" w:rsidP="007E2ADE">
      <w:pPr>
        <w:pStyle w:val="NormalWeb"/>
        <w:numPr>
          <w:ilvl w:val="0"/>
          <w:numId w:val="16"/>
        </w:numPr>
        <w:rPr>
          <w:color w:val="000000"/>
        </w:rPr>
      </w:pPr>
      <w:r>
        <w:rPr>
          <w:color w:val="000000"/>
        </w:rPr>
        <w:t>NIST Cybersecurity Framework, ISO/IEC 27001, COBIT, and COSO-aligned control principles for defensible IT control posture</w:t>
      </w:r>
    </w:p>
    <w:p w14:paraId="397A62B4" w14:textId="77777777" w:rsidR="007E2ADE" w:rsidRDefault="009E10E0" w:rsidP="007E2ADE">
      <w:r>
        <w:rPr>
          <w:noProof/>
        </w:rPr>
        <w:pict w14:anchorId="149AAAB4">
          <v:rect id="_x0000_i1025" alt="" style="width:398.75pt;height:.05pt;mso-width-percent:0;mso-height-percent:0;mso-width-percent:0;mso-height-percent:0" o:hrpct="852" o:hralign="center" o:hrstd="t" o:hr="t" fillcolor="#a0a0a0" stroked="f"/>
        </w:pict>
      </w:r>
    </w:p>
    <w:p w14:paraId="27295F4B" w14:textId="77777777" w:rsidR="007E2ADE" w:rsidRDefault="007E2ADE" w:rsidP="007E2ADE">
      <w:pPr>
        <w:pStyle w:val="Heading3"/>
        <w:rPr>
          <w:color w:val="000000"/>
        </w:rPr>
      </w:pPr>
      <w:r>
        <w:rPr>
          <w:color w:val="000000"/>
        </w:rPr>
        <w:t>Operating Discipline &amp; Monitoring</w:t>
      </w:r>
    </w:p>
    <w:p w14:paraId="79399A28" w14:textId="77777777" w:rsidR="007E2ADE" w:rsidRDefault="007E2ADE" w:rsidP="007E2ADE">
      <w:pPr>
        <w:pStyle w:val="NormalWeb"/>
        <w:rPr>
          <w:color w:val="000000"/>
        </w:rPr>
      </w:pPr>
      <w:r>
        <w:rPr>
          <w:color w:val="000000"/>
        </w:rPr>
        <w:t>This phase turns ITGC and security governance into a repeatable cadence—monitoring, exception handling, and evidence discipline—so performance does not rely on individual heroics. It also enables early detection of drift (privileged access creep, change control bypass, incomplete reviews) before it becomes an incident, audit finding, or operational disruption.</w:t>
      </w:r>
      <w:r>
        <w:rPr>
          <w:color w:val="000000"/>
        </w:rPr>
        <w:br/>
      </w:r>
      <w:r>
        <w:rPr>
          <w:rStyle w:val="Strong"/>
          <w:rFonts w:eastAsiaTheme="majorEastAsia"/>
          <w:color w:val="000000"/>
        </w:rPr>
        <w:t>Purpose</w:t>
      </w:r>
    </w:p>
    <w:p w14:paraId="31DBEF89" w14:textId="77777777" w:rsidR="007E2ADE" w:rsidRDefault="007E2ADE" w:rsidP="007E2ADE">
      <w:pPr>
        <w:pStyle w:val="NormalWeb"/>
        <w:numPr>
          <w:ilvl w:val="0"/>
          <w:numId w:val="17"/>
        </w:numPr>
        <w:rPr>
          <w:color w:val="000000"/>
        </w:rPr>
      </w:pPr>
      <w:r>
        <w:rPr>
          <w:color w:val="000000"/>
        </w:rPr>
        <w:t>Define repeatable workflows for approvals, changes, and exceptions</w:t>
      </w:r>
    </w:p>
    <w:p w14:paraId="5D81301D" w14:textId="77777777" w:rsidR="007E2ADE" w:rsidRDefault="007E2ADE" w:rsidP="007E2ADE">
      <w:pPr>
        <w:pStyle w:val="NormalWeb"/>
        <w:numPr>
          <w:ilvl w:val="0"/>
          <w:numId w:val="17"/>
        </w:numPr>
        <w:rPr>
          <w:color w:val="000000"/>
        </w:rPr>
      </w:pPr>
      <w:r>
        <w:rPr>
          <w:color w:val="000000"/>
        </w:rPr>
        <w:lastRenderedPageBreak/>
        <w:t>Establish monitoring metrics and reporting cadence</w:t>
      </w:r>
    </w:p>
    <w:p w14:paraId="401F9E1B" w14:textId="77777777" w:rsidR="007E2ADE" w:rsidRDefault="007E2ADE" w:rsidP="007E2ADE">
      <w:pPr>
        <w:pStyle w:val="NormalWeb"/>
        <w:numPr>
          <w:ilvl w:val="0"/>
          <w:numId w:val="17"/>
        </w:numPr>
        <w:rPr>
          <w:color w:val="000000"/>
        </w:rPr>
      </w:pPr>
      <w:r>
        <w:rPr>
          <w:color w:val="000000"/>
        </w:rPr>
        <w:t>Create a controlled mechanism for continuous refinement</w:t>
      </w:r>
    </w:p>
    <w:p w14:paraId="180135EC" w14:textId="77777777" w:rsidR="007E2ADE" w:rsidRDefault="007E2ADE" w:rsidP="007E2ADE">
      <w:pPr>
        <w:pStyle w:val="NormalWeb"/>
        <w:rPr>
          <w:color w:val="000000"/>
        </w:rPr>
      </w:pPr>
      <w:r>
        <w:rPr>
          <w:rStyle w:val="Strong"/>
          <w:rFonts w:eastAsiaTheme="majorEastAsia"/>
          <w:color w:val="000000"/>
        </w:rPr>
        <w:t>Why It Matters</w:t>
      </w:r>
    </w:p>
    <w:p w14:paraId="017E567C" w14:textId="77777777" w:rsidR="007E2ADE" w:rsidRDefault="007E2ADE" w:rsidP="007E2ADE">
      <w:pPr>
        <w:pStyle w:val="NormalWeb"/>
        <w:numPr>
          <w:ilvl w:val="0"/>
          <w:numId w:val="18"/>
        </w:numPr>
        <w:rPr>
          <w:color w:val="000000"/>
        </w:rPr>
      </w:pPr>
      <w:r>
        <w:rPr>
          <w:color w:val="000000"/>
        </w:rPr>
        <w:t>Prevents governance drift and control decay over time</w:t>
      </w:r>
    </w:p>
    <w:p w14:paraId="66C88BEA" w14:textId="77777777" w:rsidR="007E2ADE" w:rsidRDefault="007E2ADE" w:rsidP="007E2ADE">
      <w:pPr>
        <w:pStyle w:val="NormalWeb"/>
        <w:numPr>
          <w:ilvl w:val="0"/>
          <w:numId w:val="18"/>
        </w:numPr>
        <w:rPr>
          <w:color w:val="000000"/>
        </w:rPr>
      </w:pPr>
      <w:r>
        <w:rPr>
          <w:color w:val="000000"/>
        </w:rPr>
        <w:t>Improves reliability and reduces disruption risk</w:t>
      </w:r>
    </w:p>
    <w:p w14:paraId="36AC8B0B" w14:textId="77777777" w:rsidR="007E2ADE" w:rsidRDefault="007E2ADE" w:rsidP="007E2ADE">
      <w:pPr>
        <w:pStyle w:val="NormalWeb"/>
        <w:numPr>
          <w:ilvl w:val="0"/>
          <w:numId w:val="18"/>
        </w:numPr>
        <w:rPr>
          <w:color w:val="000000"/>
        </w:rPr>
      </w:pPr>
      <w:r>
        <w:rPr>
          <w:color w:val="000000"/>
        </w:rPr>
        <w:t>Creates measurable oversight for stakeholder confidence</w:t>
      </w:r>
    </w:p>
    <w:p w14:paraId="0211DC51" w14:textId="11BDEEC7" w:rsidR="002647E7" w:rsidRPr="007E2ADE" w:rsidRDefault="002647E7" w:rsidP="007E2ADE"/>
    <w:sectPr w:rsidR="002647E7" w:rsidRPr="007E2A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BC0E62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C40DB3"/>
    <w:multiLevelType w:val="multilevel"/>
    <w:tmpl w:val="716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B7C66"/>
    <w:multiLevelType w:val="multilevel"/>
    <w:tmpl w:val="5FAE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20B92"/>
    <w:multiLevelType w:val="multilevel"/>
    <w:tmpl w:val="0DB6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A692B"/>
    <w:multiLevelType w:val="multilevel"/>
    <w:tmpl w:val="A610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D1101"/>
    <w:multiLevelType w:val="multilevel"/>
    <w:tmpl w:val="1EA8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13890"/>
    <w:multiLevelType w:val="multilevel"/>
    <w:tmpl w:val="61E6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A50B4"/>
    <w:multiLevelType w:val="multilevel"/>
    <w:tmpl w:val="879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7C0A28"/>
    <w:multiLevelType w:val="multilevel"/>
    <w:tmpl w:val="8B82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D36EC"/>
    <w:multiLevelType w:val="multilevel"/>
    <w:tmpl w:val="614A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468542">
    <w:abstractNumId w:val="8"/>
  </w:num>
  <w:num w:numId="2" w16cid:durableId="1783106078">
    <w:abstractNumId w:val="6"/>
  </w:num>
  <w:num w:numId="3" w16cid:durableId="1320697191">
    <w:abstractNumId w:val="5"/>
  </w:num>
  <w:num w:numId="4" w16cid:durableId="1487280631">
    <w:abstractNumId w:val="4"/>
  </w:num>
  <w:num w:numId="5" w16cid:durableId="1646741351">
    <w:abstractNumId w:val="7"/>
  </w:num>
  <w:num w:numId="6" w16cid:durableId="1764035232">
    <w:abstractNumId w:val="3"/>
  </w:num>
  <w:num w:numId="7" w16cid:durableId="8216182">
    <w:abstractNumId w:val="2"/>
  </w:num>
  <w:num w:numId="8" w16cid:durableId="1764573548">
    <w:abstractNumId w:val="1"/>
  </w:num>
  <w:num w:numId="9" w16cid:durableId="699210881">
    <w:abstractNumId w:val="0"/>
  </w:num>
  <w:num w:numId="10" w16cid:durableId="401680036">
    <w:abstractNumId w:val="15"/>
  </w:num>
  <w:num w:numId="11" w16cid:durableId="2091266681">
    <w:abstractNumId w:val="13"/>
  </w:num>
  <w:num w:numId="12" w16cid:durableId="1501850078">
    <w:abstractNumId w:val="12"/>
  </w:num>
  <w:num w:numId="13" w16cid:durableId="1977492912">
    <w:abstractNumId w:val="14"/>
  </w:num>
  <w:num w:numId="14" w16cid:durableId="1456170270">
    <w:abstractNumId w:val="9"/>
  </w:num>
  <w:num w:numId="15" w16cid:durableId="1817408519">
    <w:abstractNumId w:val="17"/>
  </w:num>
  <w:num w:numId="16" w16cid:durableId="390547070">
    <w:abstractNumId w:val="10"/>
  </w:num>
  <w:num w:numId="17" w16cid:durableId="571306804">
    <w:abstractNumId w:val="11"/>
  </w:num>
  <w:num w:numId="18" w16cid:durableId="487680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C38"/>
    <w:rsid w:val="002647E7"/>
    <w:rsid w:val="0029639D"/>
    <w:rsid w:val="00326F90"/>
    <w:rsid w:val="007E2ADE"/>
    <w:rsid w:val="009E10E0"/>
    <w:rsid w:val="00AA1D8D"/>
    <w:rsid w:val="00B43D67"/>
    <w:rsid w:val="00B47730"/>
    <w:rsid w:val="00CB0664"/>
    <w:rsid w:val="00CD6F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50ABE"/>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E2A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E2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497</Words>
  <Characters>3489</Characters>
  <Application>Microsoft Office Word</Application>
  <DocSecurity>0</DocSecurity>
  <Lines>72</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3</cp:revision>
  <dcterms:created xsi:type="dcterms:W3CDTF">2013-12-23T23:15:00Z</dcterms:created>
  <dcterms:modified xsi:type="dcterms:W3CDTF">2026-02-01T19:46:00Z</dcterms:modified>
  <cp:category/>
</cp:coreProperties>
</file>