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B378" w14:textId="77777777" w:rsidR="000901C8" w:rsidRDefault="000901C8" w:rsidP="000901C8">
      <w:pPr>
        <w:pStyle w:val="Heading2"/>
        <w:rPr>
          <w:color w:val="000000"/>
        </w:rPr>
      </w:pPr>
      <w:r>
        <w:rPr>
          <w:color w:val="000000"/>
        </w:rPr>
        <w:t>AI &amp; AI Regulatory Governance</w:t>
      </w:r>
    </w:p>
    <w:p w14:paraId="75710BF7" w14:textId="77777777" w:rsidR="000901C8" w:rsidRDefault="000901C8" w:rsidP="000901C8">
      <w:pPr>
        <w:pStyle w:val="NormalWeb"/>
        <w:rPr>
          <w:color w:val="000000"/>
        </w:rPr>
      </w:pPr>
      <w:r>
        <w:rPr>
          <w:color w:val="000000"/>
        </w:rPr>
        <w:t>AI &amp; AI Regulatory Governance establishes disciplined oversight to manage AI use cases, risk classification, monitoring, and accountability for AI-driven outcomes. As AI adoption expands across products, operations, and decision workflows, unmanaged choices can create control failures, inconsistent results, and regulatory exposure.</w:t>
      </w:r>
      <w:r>
        <w:rPr>
          <w:rStyle w:val="apple-converted-space"/>
          <w:color w:val="000000"/>
        </w:rPr>
        <w:t> </w:t>
      </w:r>
      <w:r>
        <w:rPr>
          <w:rStyle w:val="whitespace-normal"/>
          <w:rFonts w:eastAsiaTheme="majorEastAsia"/>
          <w:color w:val="000000"/>
        </w:rPr>
        <w:t>Quantum</w:t>
      </w:r>
      <w:r>
        <w:rPr>
          <w:rStyle w:val="apple-converted-space"/>
          <w:color w:val="000000"/>
        </w:rPr>
        <w:t> </w:t>
      </w:r>
      <w:r>
        <w:rPr>
          <w:color w:val="000000"/>
        </w:rPr>
        <w:t>delivers governance-first, control-driven advisory grounded in Clarity, Consistency, Compliance, Communication, Control, and Comprehensiveness, translating framework expectations into practical operating discipline. The outcome is improved reliability, audit defensibility, and scalable governance aligned to enterprise needs.</w:t>
      </w:r>
    </w:p>
    <w:p w14:paraId="0CE4F034" w14:textId="77777777" w:rsidR="000901C8" w:rsidRDefault="00684FF5" w:rsidP="000901C8">
      <w:r>
        <w:rPr>
          <w:noProof/>
        </w:rPr>
        <w:pict w14:anchorId="1F5C5B12">
          <v:rect id="_x0000_i1028" alt="" style="width:431.95pt;height:.05pt;mso-width-percent:0;mso-height-percent:0;mso-width-percent:0;mso-height-percent:0" o:hrpct="923" o:hralign="center" o:hrstd="t" o:hr="t" fillcolor="#a0a0a0" stroked="f"/>
        </w:pict>
      </w:r>
    </w:p>
    <w:p w14:paraId="45DFBCE7" w14:textId="77777777" w:rsidR="000901C8" w:rsidRDefault="000901C8" w:rsidP="000901C8">
      <w:pPr>
        <w:pStyle w:val="Heading2"/>
        <w:rPr>
          <w:color w:val="000000"/>
        </w:rPr>
      </w:pPr>
      <w:r>
        <w:rPr>
          <w:color w:val="000000"/>
        </w:rPr>
        <w:t>Service Cards (Website Tiles)</w:t>
      </w:r>
    </w:p>
    <w:p w14:paraId="335EC4BB" w14:textId="77777777" w:rsidR="000901C8" w:rsidRDefault="000901C8" w:rsidP="000901C8">
      <w:pPr>
        <w:pStyle w:val="Heading3"/>
        <w:rPr>
          <w:color w:val="000000"/>
        </w:rPr>
      </w:pPr>
      <w:r>
        <w:rPr>
          <w:color w:val="000000"/>
        </w:rPr>
        <w:t>Card 1 — Discovery &amp; Operating Context</w:t>
      </w:r>
    </w:p>
    <w:p w14:paraId="55AE1977" w14:textId="4BD19A8E" w:rsidR="000901C8" w:rsidRDefault="000901C8" w:rsidP="000901C8">
      <w:pPr>
        <w:pStyle w:val="NormalWeb"/>
        <w:rPr>
          <w:color w:val="000000"/>
        </w:rPr>
      </w:pPr>
      <w:r>
        <w:rPr>
          <w:color w:val="000000"/>
        </w:rPr>
        <w:t>We begin by clarifying where AI is used (or planned), how outcomes are relied on, and which decisions AI influences. This stage surfaces dependencies across data, systems, vendors, and people so governance is designed around real operating conditions—not assumptions. We also align on stakeholder expectations and regulatory sensitivity to set clear objectives and boundaries for the engagement.</w:t>
      </w:r>
    </w:p>
    <w:p w14:paraId="1313DAC7" w14:textId="77777777" w:rsidR="000901C8" w:rsidRDefault="000901C8" w:rsidP="000901C8">
      <w:pPr>
        <w:pStyle w:val="NormalWeb"/>
        <w:rPr>
          <w:color w:val="000000"/>
        </w:rPr>
      </w:pPr>
      <w:r>
        <w:rPr>
          <w:rStyle w:val="Strong"/>
          <w:rFonts w:eastAsiaTheme="majorEastAsia"/>
          <w:color w:val="000000"/>
        </w:rPr>
        <w:t>Purpose:</w:t>
      </w:r>
    </w:p>
    <w:p w14:paraId="7BBCB106" w14:textId="77777777" w:rsidR="000901C8" w:rsidRDefault="000901C8" w:rsidP="000901C8">
      <w:pPr>
        <w:pStyle w:val="NormalWeb"/>
        <w:numPr>
          <w:ilvl w:val="0"/>
          <w:numId w:val="10"/>
        </w:numPr>
        <w:rPr>
          <w:color w:val="000000"/>
        </w:rPr>
      </w:pPr>
      <w:r>
        <w:rPr>
          <w:color w:val="000000"/>
        </w:rPr>
        <w:t>Understand scope, dependencies, and decision points tied to AI use</w:t>
      </w:r>
    </w:p>
    <w:p w14:paraId="10E01DE1" w14:textId="77777777" w:rsidR="000901C8" w:rsidRDefault="000901C8" w:rsidP="000901C8">
      <w:pPr>
        <w:pStyle w:val="NormalWeb"/>
        <w:numPr>
          <w:ilvl w:val="0"/>
          <w:numId w:val="10"/>
        </w:numPr>
        <w:rPr>
          <w:color w:val="000000"/>
        </w:rPr>
      </w:pPr>
      <w:r>
        <w:rPr>
          <w:color w:val="000000"/>
        </w:rPr>
        <w:t>Identify critical risks, compliance expectations, and stakeholder needs</w:t>
      </w:r>
    </w:p>
    <w:p w14:paraId="00E70D65" w14:textId="77777777" w:rsidR="000901C8" w:rsidRDefault="000901C8" w:rsidP="000901C8">
      <w:pPr>
        <w:pStyle w:val="NormalWeb"/>
        <w:numPr>
          <w:ilvl w:val="0"/>
          <w:numId w:val="10"/>
        </w:numPr>
        <w:rPr>
          <w:color w:val="000000"/>
        </w:rPr>
      </w:pPr>
      <w:r>
        <w:rPr>
          <w:color w:val="000000"/>
        </w:rPr>
        <w:t>Define objectives, boundaries, and accountability requirements</w:t>
      </w:r>
    </w:p>
    <w:p w14:paraId="3AF98833" w14:textId="77777777" w:rsidR="000901C8" w:rsidRDefault="000901C8" w:rsidP="000901C8">
      <w:pPr>
        <w:pStyle w:val="NormalWeb"/>
        <w:rPr>
          <w:color w:val="000000"/>
        </w:rPr>
      </w:pPr>
      <w:r>
        <w:rPr>
          <w:rStyle w:val="Strong"/>
          <w:rFonts w:eastAsiaTheme="majorEastAsia"/>
          <w:color w:val="000000"/>
        </w:rPr>
        <w:t>Why It Matters:</w:t>
      </w:r>
    </w:p>
    <w:p w14:paraId="11EAE253" w14:textId="77777777" w:rsidR="000901C8" w:rsidRDefault="000901C8" w:rsidP="000901C8">
      <w:pPr>
        <w:pStyle w:val="NormalWeb"/>
        <w:numPr>
          <w:ilvl w:val="0"/>
          <w:numId w:val="11"/>
        </w:numPr>
        <w:rPr>
          <w:color w:val="000000"/>
        </w:rPr>
      </w:pPr>
      <w:r>
        <w:rPr>
          <w:color w:val="000000"/>
        </w:rPr>
        <w:t>Creates clarity on what must be governed and why</w:t>
      </w:r>
    </w:p>
    <w:p w14:paraId="7AF94844" w14:textId="77777777" w:rsidR="000901C8" w:rsidRDefault="000901C8" w:rsidP="000901C8">
      <w:pPr>
        <w:pStyle w:val="NormalWeb"/>
        <w:numPr>
          <w:ilvl w:val="0"/>
          <w:numId w:val="11"/>
        </w:numPr>
        <w:rPr>
          <w:color w:val="000000"/>
        </w:rPr>
      </w:pPr>
      <w:r>
        <w:rPr>
          <w:color w:val="000000"/>
        </w:rPr>
        <w:t>Prevents fragmented oversight and inconsistent decisions</w:t>
      </w:r>
    </w:p>
    <w:p w14:paraId="485648CC" w14:textId="77777777" w:rsidR="000901C8" w:rsidRDefault="000901C8" w:rsidP="000901C8">
      <w:pPr>
        <w:pStyle w:val="NormalWeb"/>
        <w:numPr>
          <w:ilvl w:val="0"/>
          <w:numId w:val="11"/>
        </w:numPr>
        <w:rPr>
          <w:color w:val="000000"/>
        </w:rPr>
      </w:pPr>
      <w:r>
        <w:rPr>
          <w:color w:val="000000"/>
        </w:rPr>
        <w:t>Improves control over risk from the start</w:t>
      </w:r>
    </w:p>
    <w:p w14:paraId="313389C2" w14:textId="77777777" w:rsidR="000901C8" w:rsidRDefault="00684FF5" w:rsidP="000901C8">
      <w:r>
        <w:rPr>
          <w:noProof/>
        </w:rPr>
        <w:pict w14:anchorId="00D45F54">
          <v:rect id="_x0000_i1027" alt="" style="width:431.95pt;height:.05pt;mso-width-percent:0;mso-height-percent:0;mso-width-percent:0;mso-height-percent:0" o:hrpct="923" o:hralign="center" o:hrstd="t" o:hr="t" fillcolor="#a0a0a0" stroked="f"/>
        </w:pict>
      </w:r>
    </w:p>
    <w:p w14:paraId="2138B48A" w14:textId="77777777" w:rsidR="000901C8" w:rsidRDefault="000901C8" w:rsidP="000901C8">
      <w:pPr>
        <w:pStyle w:val="Heading3"/>
        <w:rPr>
          <w:color w:val="000000"/>
        </w:rPr>
      </w:pPr>
      <w:r>
        <w:rPr>
          <w:color w:val="000000"/>
        </w:rPr>
        <w:t>Card 2 — Current-State Assessment &amp; Gap Analysis</w:t>
      </w:r>
    </w:p>
    <w:p w14:paraId="1772DC8A" w14:textId="36A3EC21" w:rsidR="000901C8" w:rsidRDefault="000901C8" w:rsidP="000901C8">
      <w:pPr>
        <w:pStyle w:val="NormalWeb"/>
        <w:rPr>
          <w:color w:val="000000"/>
        </w:rPr>
      </w:pPr>
      <w:r>
        <w:rPr>
          <w:color w:val="000000"/>
        </w:rPr>
        <w:t xml:space="preserve">We assess current AI-related practices and artifacts—such as use-case inventories, documentation, approvals, monitoring, and escalation routines—to determine where controls are strong and where risk is unmanaged. Gaps and overlaps are identified across policy, process, and evidence, with attention to where outcomes could fail under scrutiny. </w:t>
      </w:r>
      <w:r>
        <w:rPr>
          <w:color w:val="000000"/>
        </w:rPr>
        <w:lastRenderedPageBreak/>
        <w:t>Findings are prioritized based on impact and feasibility to establish a practical improvement path.</w:t>
      </w:r>
    </w:p>
    <w:p w14:paraId="2C835BC6" w14:textId="77777777" w:rsidR="000901C8" w:rsidRDefault="000901C8" w:rsidP="000901C8">
      <w:pPr>
        <w:pStyle w:val="NormalWeb"/>
        <w:rPr>
          <w:color w:val="000000"/>
        </w:rPr>
      </w:pPr>
      <w:r>
        <w:rPr>
          <w:rStyle w:val="Strong"/>
          <w:rFonts w:eastAsiaTheme="majorEastAsia"/>
          <w:color w:val="000000"/>
        </w:rPr>
        <w:t>Purpose:</w:t>
      </w:r>
    </w:p>
    <w:p w14:paraId="466472E7" w14:textId="77777777" w:rsidR="000901C8" w:rsidRDefault="000901C8" w:rsidP="000901C8">
      <w:pPr>
        <w:pStyle w:val="NormalWeb"/>
        <w:numPr>
          <w:ilvl w:val="0"/>
          <w:numId w:val="12"/>
        </w:numPr>
        <w:rPr>
          <w:color w:val="000000"/>
        </w:rPr>
      </w:pPr>
      <w:r>
        <w:rPr>
          <w:color w:val="000000"/>
        </w:rPr>
        <w:t>Assess current practices, documentation, and control effectiveness</w:t>
      </w:r>
    </w:p>
    <w:p w14:paraId="1698D5B2" w14:textId="77777777" w:rsidR="000901C8" w:rsidRDefault="000901C8" w:rsidP="000901C8">
      <w:pPr>
        <w:pStyle w:val="NormalWeb"/>
        <w:numPr>
          <w:ilvl w:val="0"/>
          <w:numId w:val="12"/>
        </w:numPr>
        <w:rPr>
          <w:color w:val="000000"/>
        </w:rPr>
      </w:pPr>
      <w:r>
        <w:rPr>
          <w:color w:val="000000"/>
        </w:rPr>
        <w:t>Identify gaps, overlaps, and unmanaged risks</w:t>
      </w:r>
    </w:p>
    <w:p w14:paraId="004AD5F9" w14:textId="77777777" w:rsidR="000901C8" w:rsidRDefault="000901C8" w:rsidP="000901C8">
      <w:pPr>
        <w:pStyle w:val="NormalWeb"/>
        <w:numPr>
          <w:ilvl w:val="0"/>
          <w:numId w:val="12"/>
        </w:numPr>
        <w:rPr>
          <w:color w:val="000000"/>
        </w:rPr>
      </w:pPr>
      <w:r>
        <w:rPr>
          <w:color w:val="000000"/>
        </w:rPr>
        <w:t>Prioritize remediation based on impact and feasibility</w:t>
      </w:r>
    </w:p>
    <w:p w14:paraId="51FF6FCC" w14:textId="77777777" w:rsidR="000901C8" w:rsidRDefault="000901C8" w:rsidP="000901C8">
      <w:pPr>
        <w:pStyle w:val="NormalWeb"/>
        <w:rPr>
          <w:color w:val="000000"/>
        </w:rPr>
      </w:pPr>
      <w:r>
        <w:rPr>
          <w:rStyle w:val="Strong"/>
          <w:rFonts w:eastAsiaTheme="majorEastAsia"/>
          <w:color w:val="000000"/>
        </w:rPr>
        <w:t>Why It Matters:</w:t>
      </w:r>
    </w:p>
    <w:p w14:paraId="4F70C3BF" w14:textId="77777777" w:rsidR="000901C8" w:rsidRDefault="000901C8" w:rsidP="000901C8">
      <w:pPr>
        <w:pStyle w:val="NormalWeb"/>
        <w:numPr>
          <w:ilvl w:val="0"/>
          <w:numId w:val="13"/>
        </w:numPr>
        <w:rPr>
          <w:color w:val="000000"/>
        </w:rPr>
      </w:pPr>
      <w:r>
        <w:rPr>
          <w:color w:val="000000"/>
        </w:rPr>
        <w:t>Reduces exposure caused by undocumented or inconsistent practices</w:t>
      </w:r>
    </w:p>
    <w:p w14:paraId="3412480F" w14:textId="77777777" w:rsidR="000901C8" w:rsidRDefault="000901C8" w:rsidP="000901C8">
      <w:pPr>
        <w:pStyle w:val="NormalWeb"/>
        <w:numPr>
          <w:ilvl w:val="0"/>
          <w:numId w:val="13"/>
        </w:numPr>
        <w:rPr>
          <w:color w:val="000000"/>
        </w:rPr>
      </w:pPr>
      <w:r>
        <w:rPr>
          <w:color w:val="000000"/>
        </w:rPr>
        <w:t>Improves audit defensibility through clearer evidence and ownership</w:t>
      </w:r>
    </w:p>
    <w:p w14:paraId="3C6340D7" w14:textId="77777777" w:rsidR="000901C8" w:rsidRDefault="000901C8" w:rsidP="000901C8">
      <w:pPr>
        <w:pStyle w:val="NormalWeb"/>
        <w:numPr>
          <w:ilvl w:val="0"/>
          <w:numId w:val="13"/>
        </w:numPr>
        <w:rPr>
          <w:color w:val="000000"/>
        </w:rPr>
      </w:pPr>
      <w:r>
        <w:rPr>
          <w:color w:val="000000"/>
        </w:rPr>
        <w:t>Creates a fact-based baseline for improvement</w:t>
      </w:r>
    </w:p>
    <w:p w14:paraId="46BB4655" w14:textId="77777777" w:rsidR="000901C8" w:rsidRDefault="00684FF5" w:rsidP="000901C8">
      <w:r>
        <w:rPr>
          <w:noProof/>
        </w:rPr>
        <w:pict w14:anchorId="11EF28FE">
          <v:rect id="_x0000_i1026" alt="" style="width:431.95pt;height:.05pt;mso-width-percent:0;mso-height-percent:0;mso-width-percent:0;mso-height-percent:0" o:hrpct="923" o:hralign="center" o:hrstd="t" o:hr="t" fillcolor="#a0a0a0" stroked="f"/>
        </w:pict>
      </w:r>
    </w:p>
    <w:p w14:paraId="1985F6A2" w14:textId="77777777" w:rsidR="000901C8" w:rsidRDefault="000901C8" w:rsidP="000901C8">
      <w:pPr>
        <w:pStyle w:val="Heading3"/>
        <w:rPr>
          <w:color w:val="000000"/>
        </w:rPr>
      </w:pPr>
      <w:r>
        <w:rPr>
          <w:color w:val="000000"/>
        </w:rPr>
        <w:t>Card 3 — Governance Design &amp; Control Standards</w:t>
      </w:r>
    </w:p>
    <w:p w14:paraId="435370D4" w14:textId="12937A43" w:rsidR="000901C8" w:rsidRDefault="000901C8" w:rsidP="000901C8">
      <w:pPr>
        <w:pStyle w:val="NormalWeb"/>
        <w:rPr>
          <w:color w:val="000000"/>
        </w:rPr>
      </w:pPr>
      <w:r>
        <w:rPr>
          <w:color w:val="000000"/>
        </w:rPr>
        <w:t>We design a governance model that makes AI accountability operational—defining decision rights, oversight routines, and escalation paths that teams can follow consistently. Control standards are established for key moments in the AI lifecycle (intake, approval, change, monitoring, and retirement) with clear documentation expectations. The focus is on controls that are practical, repeatable, and scalable as AI usage grows.</w:t>
      </w:r>
    </w:p>
    <w:p w14:paraId="731C55E5" w14:textId="77777777" w:rsidR="000901C8" w:rsidRDefault="000901C8" w:rsidP="000901C8">
      <w:pPr>
        <w:pStyle w:val="NormalWeb"/>
        <w:rPr>
          <w:color w:val="000000"/>
        </w:rPr>
      </w:pPr>
      <w:r>
        <w:rPr>
          <w:rStyle w:val="Strong"/>
          <w:rFonts w:eastAsiaTheme="majorEastAsia"/>
          <w:color w:val="000000"/>
        </w:rPr>
        <w:t>Purpose:</w:t>
      </w:r>
    </w:p>
    <w:p w14:paraId="21182D13" w14:textId="77777777" w:rsidR="000901C8" w:rsidRDefault="000901C8" w:rsidP="000901C8">
      <w:pPr>
        <w:pStyle w:val="NormalWeb"/>
        <w:numPr>
          <w:ilvl w:val="0"/>
          <w:numId w:val="14"/>
        </w:numPr>
        <w:rPr>
          <w:color w:val="000000"/>
        </w:rPr>
      </w:pPr>
      <w:r>
        <w:rPr>
          <w:color w:val="000000"/>
        </w:rPr>
        <w:t>Define roles, decision rights, escalation paths, and oversight routines</w:t>
      </w:r>
    </w:p>
    <w:p w14:paraId="3786078C" w14:textId="77777777" w:rsidR="000901C8" w:rsidRDefault="000901C8" w:rsidP="000901C8">
      <w:pPr>
        <w:pStyle w:val="NormalWeb"/>
        <w:numPr>
          <w:ilvl w:val="0"/>
          <w:numId w:val="14"/>
        </w:numPr>
        <w:rPr>
          <w:color w:val="000000"/>
        </w:rPr>
      </w:pPr>
      <w:r>
        <w:rPr>
          <w:color w:val="000000"/>
        </w:rPr>
        <w:t>Establish practical control standards and documentation expectations</w:t>
      </w:r>
    </w:p>
    <w:p w14:paraId="2BDC50F0" w14:textId="77777777" w:rsidR="000901C8" w:rsidRDefault="000901C8" w:rsidP="000901C8">
      <w:pPr>
        <w:pStyle w:val="NormalWeb"/>
        <w:numPr>
          <w:ilvl w:val="0"/>
          <w:numId w:val="14"/>
        </w:numPr>
        <w:rPr>
          <w:color w:val="000000"/>
        </w:rPr>
      </w:pPr>
      <w:r>
        <w:rPr>
          <w:color w:val="000000"/>
        </w:rPr>
        <w:t>Align governance to operating reality and scalability needs</w:t>
      </w:r>
    </w:p>
    <w:p w14:paraId="3E19E12D" w14:textId="77777777" w:rsidR="000901C8" w:rsidRDefault="000901C8" w:rsidP="000901C8">
      <w:pPr>
        <w:pStyle w:val="NormalWeb"/>
        <w:rPr>
          <w:color w:val="000000"/>
        </w:rPr>
      </w:pPr>
      <w:r>
        <w:rPr>
          <w:rStyle w:val="Strong"/>
          <w:rFonts w:eastAsiaTheme="majorEastAsia"/>
          <w:color w:val="000000"/>
        </w:rPr>
        <w:t>Why It Matters:</w:t>
      </w:r>
    </w:p>
    <w:p w14:paraId="01E05AF6" w14:textId="77777777" w:rsidR="000901C8" w:rsidRDefault="000901C8" w:rsidP="000901C8">
      <w:pPr>
        <w:pStyle w:val="NormalWeb"/>
        <w:numPr>
          <w:ilvl w:val="0"/>
          <w:numId w:val="15"/>
        </w:numPr>
        <w:rPr>
          <w:color w:val="000000"/>
        </w:rPr>
      </w:pPr>
      <w:r>
        <w:rPr>
          <w:color w:val="000000"/>
        </w:rPr>
        <w:t>Improves operational control and accountability</w:t>
      </w:r>
    </w:p>
    <w:p w14:paraId="170E3A27" w14:textId="77777777" w:rsidR="000901C8" w:rsidRDefault="000901C8" w:rsidP="000901C8">
      <w:pPr>
        <w:pStyle w:val="NormalWeb"/>
        <w:numPr>
          <w:ilvl w:val="0"/>
          <w:numId w:val="15"/>
        </w:numPr>
        <w:rPr>
          <w:color w:val="000000"/>
        </w:rPr>
      </w:pPr>
      <w:r>
        <w:rPr>
          <w:color w:val="000000"/>
        </w:rPr>
        <w:t>Strengthens predictability and consistency across teams and vendors</w:t>
      </w:r>
    </w:p>
    <w:p w14:paraId="17D9B926" w14:textId="77777777" w:rsidR="000901C8" w:rsidRDefault="000901C8" w:rsidP="000901C8">
      <w:pPr>
        <w:pStyle w:val="NormalWeb"/>
        <w:numPr>
          <w:ilvl w:val="0"/>
          <w:numId w:val="15"/>
        </w:numPr>
        <w:rPr>
          <w:color w:val="000000"/>
        </w:rPr>
      </w:pPr>
      <w:r>
        <w:rPr>
          <w:color w:val="000000"/>
        </w:rPr>
        <w:t>Supports scalable governance as complexity increases</w:t>
      </w:r>
    </w:p>
    <w:p w14:paraId="16A09C28" w14:textId="77777777" w:rsidR="000901C8" w:rsidRDefault="000901C8" w:rsidP="000901C8">
      <w:pPr>
        <w:pStyle w:val="NormalWeb"/>
        <w:rPr>
          <w:color w:val="000000"/>
        </w:rPr>
      </w:pPr>
      <w:r>
        <w:rPr>
          <w:rStyle w:val="Strong"/>
          <w:rFonts w:eastAsiaTheme="majorEastAsia"/>
          <w:color w:val="000000"/>
        </w:rPr>
        <w:t>Optional Framework Reference:</w:t>
      </w:r>
    </w:p>
    <w:p w14:paraId="2A936A99" w14:textId="77777777" w:rsidR="000901C8" w:rsidRDefault="000901C8" w:rsidP="000901C8">
      <w:pPr>
        <w:pStyle w:val="NormalWeb"/>
        <w:numPr>
          <w:ilvl w:val="0"/>
          <w:numId w:val="16"/>
        </w:numPr>
        <w:rPr>
          <w:color w:val="000000"/>
        </w:rPr>
      </w:pPr>
      <w:r>
        <w:rPr>
          <w:color w:val="000000"/>
        </w:rPr>
        <w:t>NIST AI Risk Management Framework-aligned governance to reinforce transparency, reliability, and monitoring discipline</w:t>
      </w:r>
    </w:p>
    <w:p w14:paraId="746D2EAB" w14:textId="77777777" w:rsidR="000901C8" w:rsidRDefault="00684FF5" w:rsidP="000901C8">
      <w:r>
        <w:rPr>
          <w:noProof/>
        </w:rPr>
        <w:pict w14:anchorId="4287ED4D">
          <v:rect id="_x0000_i1025" alt="" style="width:431.95pt;height:.05pt;mso-width-percent:0;mso-height-percent:0;mso-width-percent:0;mso-height-percent:0" o:hrpct="923" o:hralign="center" o:hrstd="t" o:hr="t" fillcolor="#a0a0a0" stroked="f"/>
        </w:pict>
      </w:r>
    </w:p>
    <w:p w14:paraId="1BA45414" w14:textId="77777777" w:rsidR="000901C8" w:rsidRDefault="000901C8" w:rsidP="000901C8">
      <w:pPr>
        <w:pStyle w:val="Heading3"/>
        <w:rPr>
          <w:color w:val="000000"/>
        </w:rPr>
      </w:pPr>
      <w:r>
        <w:rPr>
          <w:color w:val="000000"/>
        </w:rPr>
        <w:lastRenderedPageBreak/>
        <w:t>Card 4 — Operating Discipline &amp; Monitoring</w:t>
      </w:r>
    </w:p>
    <w:p w14:paraId="0A3A43C8" w14:textId="51A3FC37" w:rsidR="000901C8" w:rsidRDefault="000901C8" w:rsidP="000901C8">
      <w:pPr>
        <w:pStyle w:val="NormalWeb"/>
        <w:rPr>
          <w:color w:val="000000"/>
        </w:rPr>
      </w:pPr>
      <w:r>
        <w:rPr>
          <w:color w:val="000000"/>
        </w:rPr>
        <w:t>We translate governance into repeatable operating discipline—how approvals happen, how changes are evaluated, how exceptions are handled, and how monitoring is sustained. Monitoring metrics and reporting cadence are defined so performance, drift, and emerging risks are visible early and acted on consistently. This stage also establishes a controlled feedback loop to refine controls as models, data, and regulations evolve.</w:t>
      </w:r>
    </w:p>
    <w:p w14:paraId="78471231" w14:textId="77777777" w:rsidR="000901C8" w:rsidRDefault="000901C8" w:rsidP="000901C8">
      <w:pPr>
        <w:pStyle w:val="NormalWeb"/>
        <w:rPr>
          <w:color w:val="000000"/>
        </w:rPr>
      </w:pPr>
      <w:r>
        <w:rPr>
          <w:rStyle w:val="Strong"/>
          <w:rFonts w:eastAsiaTheme="majorEastAsia"/>
          <w:color w:val="000000"/>
        </w:rPr>
        <w:t>Purpose:</w:t>
      </w:r>
    </w:p>
    <w:p w14:paraId="5991C707" w14:textId="77777777" w:rsidR="000901C8" w:rsidRDefault="000901C8" w:rsidP="000901C8">
      <w:pPr>
        <w:pStyle w:val="NormalWeb"/>
        <w:numPr>
          <w:ilvl w:val="0"/>
          <w:numId w:val="17"/>
        </w:numPr>
        <w:rPr>
          <w:color w:val="000000"/>
        </w:rPr>
      </w:pPr>
      <w:r>
        <w:rPr>
          <w:color w:val="000000"/>
        </w:rPr>
        <w:t>Define repeatable workflows for approvals, changes, and exceptions</w:t>
      </w:r>
    </w:p>
    <w:p w14:paraId="488D40AB" w14:textId="77777777" w:rsidR="000901C8" w:rsidRDefault="000901C8" w:rsidP="000901C8">
      <w:pPr>
        <w:pStyle w:val="NormalWeb"/>
        <w:numPr>
          <w:ilvl w:val="0"/>
          <w:numId w:val="17"/>
        </w:numPr>
        <w:rPr>
          <w:color w:val="000000"/>
        </w:rPr>
      </w:pPr>
      <w:r>
        <w:rPr>
          <w:color w:val="000000"/>
        </w:rPr>
        <w:t>Establish monitoring metrics and reporting cadence</w:t>
      </w:r>
    </w:p>
    <w:p w14:paraId="6DF6B3E3" w14:textId="77777777" w:rsidR="000901C8" w:rsidRDefault="000901C8" w:rsidP="000901C8">
      <w:pPr>
        <w:pStyle w:val="NormalWeb"/>
        <w:numPr>
          <w:ilvl w:val="0"/>
          <w:numId w:val="17"/>
        </w:numPr>
        <w:rPr>
          <w:color w:val="000000"/>
        </w:rPr>
      </w:pPr>
      <w:r>
        <w:rPr>
          <w:color w:val="000000"/>
        </w:rPr>
        <w:t>Create a controlled mechanism for continuous refinement</w:t>
      </w:r>
    </w:p>
    <w:p w14:paraId="2C600E84" w14:textId="77777777" w:rsidR="000901C8" w:rsidRDefault="000901C8" w:rsidP="000901C8">
      <w:pPr>
        <w:pStyle w:val="NormalWeb"/>
        <w:rPr>
          <w:color w:val="000000"/>
        </w:rPr>
      </w:pPr>
      <w:r>
        <w:rPr>
          <w:rStyle w:val="Strong"/>
          <w:rFonts w:eastAsiaTheme="majorEastAsia"/>
          <w:color w:val="000000"/>
        </w:rPr>
        <w:t>Why It Matters:</w:t>
      </w:r>
    </w:p>
    <w:p w14:paraId="7C19ABF3" w14:textId="77777777" w:rsidR="000901C8" w:rsidRDefault="000901C8" w:rsidP="000901C8">
      <w:pPr>
        <w:pStyle w:val="NormalWeb"/>
        <w:numPr>
          <w:ilvl w:val="0"/>
          <w:numId w:val="18"/>
        </w:numPr>
        <w:rPr>
          <w:color w:val="000000"/>
        </w:rPr>
      </w:pPr>
      <w:r>
        <w:rPr>
          <w:color w:val="000000"/>
        </w:rPr>
        <w:t>Prevents governance drift and control decay over time</w:t>
      </w:r>
    </w:p>
    <w:p w14:paraId="7FE68CD9" w14:textId="77777777" w:rsidR="000901C8" w:rsidRDefault="000901C8" w:rsidP="000901C8">
      <w:pPr>
        <w:pStyle w:val="NormalWeb"/>
        <w:numPr>
          <w:ilvl w:val="0"/>
          <w:numId w:val="18"/>
        </w:numPr>
        <w:rPr>
          <w:color w:val="000000"/>
        </w:rPr>
      </w:pPr>
      <w:r>
        <w:rPr>
          <w:color w:val="000000"/>
        </w:rPr>
        <w:t>Improves reliability and reduces disruption risk</w:t>
      </w:r>
    </w:p>
    <w:p w14:paraId="4AB65F89" w14:textId="77777777" w:rsidR="000901C8" w:rsidRDefault="000901C8" w:rsidP="000901C8">
      <w:pPr>
        <w:pStyle w:val="NormalWeb"/>
        <w:numPr>
          <w:ilvl w:val="0"/>
          <w:numId w:val="18"/>
        </w:numPr>
        <w:rPr>
          <w:color w:val="000000"/>
        </w:rPr>
      </w:pPr>
      <w:r>
        <w:rPr>
          <w:color w:val="000000"/>
        </w:rPr>
        <w:t>Creates measurable oversight for stakeholder confidence</w:t>
      </w:r>
    </w:p>
    <w:p w14:paraId="24C41979" w14:textId="78C552B0" w:rsidR="00CA48A7" w:rsidRPr="000901C8" w:rsidRDefault="00CA48A7" w:rsidP="000901C8"/>
    <w:sectPr w:rsidR="00CA48A7" w:rsidRPr="000901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70E683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DE6C92"/>
    <w:multiLevelType w:val="multilevel"/>
    <w:tmpl w:val="C3AA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C4F4A"/>
    <w:multiLevelType w:val="multilevel"/>
    <w:tmpl w:val="324E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F6F28"/>
    <w:multiLevelType w:val="multilevel"/>
    <w:tmpl w:val="4052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43766"/>
    <w:multiLevelType w:val="multilevel"/>
    <w:tmpl w:val="06FA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C2C54"/>
    <w:multiLevelType w:val="multilevel"/>
    <w:tmpl w:val="9B30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336BF"/>
    <w:multiLevelType w:val="multilevel"/>
    <w:tmpl w:val="E99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D7E1C"/>
    <w:multiLevelType w:val="multilevel"/>
    <w:tmpl w:val="8D8E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73C4F"/>
    <w:multiLevelType w:val="multilevel"/>
    <w:tmpl w:val="D47E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E1385"/>
    <w:multiLevelType w:val="multilevel"/>
    <w:tmpl w:val="09F6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461838">
    <w:abstractNumId w:val="8"/>
  </w:num>
  <w:num w:numId="2" w16cid:durableId="218516394">
    <w:abstractNumId w:val="6"/>
  </w:num>
  <w:num w:numId="3" w16cid:durableId="7604432">
    <w:abstractNumId w:val="5"/>
  </w:num>
  <w:num w:numId="4" w16cid:durableId="805049735">
    <w:abstractNumId w:val="4"/>
  </w:num>
  <w:num w:numId="5" w16cid:durableId="945042841">
    <w:abstractNumId w:val="7"/>
  </w:num>
  <w:num w:numId="6" w16cid:durableId="1542475635">
    <w:abstractNumId w:val="3"/>
  </w:num>
  <w:num w:numId="7" w16cid:durableId="111365459">
    <w:abstractNumId w:val="2"/>
  </w:num>
  <w:num w:numId="8" w16cid:durableId="271281814">
    <w:abstractNumId w:val="1"/>
  </w:num>
  <w:num w:numId="9" w16cid:durableId="2110812480">
    <w:abstractNumId w:val="0"/>
  </w:num>
  <w:num w:numId="10" w16cid:durableId="1903835155">
    <w:abstractNumId w:val="9"/>
  </w:num>
  <w:num w:numId="11" w16cid:durableId="1330333564">
    <w:abstractNumId w:val="17"/>
  </w:num>
  <w:num w:numId="12" w16cid:durableId="549414666">
    <w:abstractNumId w:val="13"/>
  </w:num>
  <w:num w:numId="13" w16cid:durableId="2073767922">
    <w:abstractNumId w:val="14"/>
  </w:num>
  <w:num w:numId="14" w16cid:durableId="1256860679">
    <w:abstractNumId w:val="12"/>
  </w:num>
  <w:num w:numId="15" w16cid:durableId="1970937207">
    <w:abstractNumId w:val="15"/>
  </w:num>
  <w:num w:numId="16" w16cid:durableId="889653355">
    <w:abstractNumId w:val="10"/>
  </w:num>
  <w:num w:numId="17" w16cid:durableId="955259784">
    <w:abstractNumId w:val="11"/>
  </w:num>
  <w:num w:numId="18" w16cid:durableId="7831158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1C8"/>
    <w:rsid w:val="0015074B"/>
    <w:rsid w:val="0029639D"/>
    <w:rsid w:val="00326F90"/>
    <w:rsid w:val="00684FF5"/>
    <w:rsid w:val="00AA1D8D"/>
    <w:rsid w:val="00B47730"/>
    <w:rsid w:val="00CA48A7"/>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DFF6D5"/>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901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901C8"/>
  </w:style>
  <w:style w:type="character" w:customStyle="1" w:styleId="whitespace-normal">
    <w:name w:val="whitespace-normal"/>
    <w:basedOn w:val="DefaultParagraphFont"/>
    <w:rsid w:val="00090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512</Words>
  <Characters>3745</Characters>
  <Application>Microsoft Office Word</Application>
  <DocSecurity>0</DocSecurity>
  <Lines>81</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2026-02-01T21:48:00Z</dcterms:modified>
  <cp:category/>
</cp:coreProperties>
</file>