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83831" w14:textId="77777777" w:rsidR="0004333D" w:rsidRDefault="0004333D" w:rsidP="0004333D">
      <w:pPr>
        <w:pStyle w:val="Heading2"/>
        <w:rPr>
          <w:color w:val="000000"/>
        </w:rPr>
      </w:pPr>
      <w:r>
        <w:rPr>
          <w:color w:val="000000"/>
        </w:rPr>
        <w:t>IT Services Delivery Framework</w:t>
      </w:r>
    </w:p>
    <w:p w14:paraId="3EF09C72" w14:textId="77777777" w:rsidR="0004333D" w:rsidRDefault="0004333D" w:rsidP="0004333D">
      <w:pPr>
        <w:pStyle w:val="Heading3"/>
        <w:rPr>
          <w:color w:val="000000"/>
        </w:rPr>
      </w:pPr>
      <w:r>
        <w:rPr>
          <w:color w:val="000000"/>
        </w:rPr>
        <w:t>Service Summary (3–5 Sentences)</w:t>
      </w:r>
    </w:p>
    <w:p w14:paraId="2FAEA9CA" w14:textId="77777777" w:rsidR="0004333D" w:rsidRDefault="0004333D" w:rsidP="0004333D">
      <w:pPr>
        <w:pStyle w:val="NormalWeb"/>
        <w:rPr>
          <w:color w:val="000000"/>
        </w:rPr>
      </w:pPr>
      <w:r>
        <w:rPr>
          <w:color w:val="000000"/>
        </w:rPr>
        <w:t>IT Services Delivery Framework establishes disciplined oversight to manage service ownership, performance expectations, and operational reliability across internal and external delivery with clear accountability, consistent controls, and defensible documentation. As technology complexity grows, unmanaged decisions in this area can create operational instability, control failures, and regulatory exposure. Quantum delivers governance-first, control-driven advisory grounded in</w:t>
      </w:r>
      <w:r>
        <w:rPr>
          <w:rStyle w:val="apple-converted-space"/>
          <w:color w:val="000000"/>
        </w:rPr>
        <w:t> </w:t>
      </w:r>
      <w:r>
        <w:rPr>
          <w:rStyle w:val="Strong"/>
          <w:rFonts w:eastAsiaTheme="majorEastAsia"/>
          <w:color w:val="000000"/>
        </w:rPr>
        <w:t>Clarity, Consistency, Compliance, Communication, Control, and Comprehensiveness</w:t>
      </w:r>
      <w:r>
        <w:rPr>
          <w:color w:val="000000"/>
        </w:rPr>
        <w:t>, translating framework expectations into practical operating discipline. The outcome is improved reliability, audit defensibility, and scalable governance aligned to enterprise needs.</w:t>
      </w:r>
    </w:p>
    <w:p w14:paraId="5AB48532" w14:textId="77777777" w:rsidR="0004333D" w:rsidRDefault="00EC2F1D" w:rsidP="0004333D">
      <w:r>
        <w:rPr>
          <w:noProof/>
        </w:rPr>
        <w:pict w14:anchorId="07015CC7">
          <v:rect id="_x0000_i1028" alt="" style="width:431.95pt;height:.05pt;mso-width-percent:0;mso-height-percent:0;mso-width-percent:0;mso-height-percent:0" o:hrpct="923" o:hralign="center" o:hrstd="t" o:hr="t" fillcolor="#a0a0a0" stroked="f"/>
        </w:pict>
      </w:r>
    </w:p>
    <w:p w14:paraId="5A66AEB2" w14:textId="77777777" w:rsidR="0004333D" w:rsidRDefault="0004333D" w:rsidP="0004333D">
      <w:pPr>
        <w:pStyle w:val="Heading3"/>
        <w:rPr>
          <w:color w:val="000000"/>
        </w:rPr>
      </w:pPr>
      <w:r>
        <w:rPr>
          <w:color w:val="000000"/>
        </w:rPr>
        <w:t>Discovery &amp; Operating Context</w:t>
      </w:r>
    </w:p>
    <w:p w14:paraId="3048D335" w14:textId="77777777" w:rsidR="0004333D" w:rsidRDefault="0004333D" w:rsidP="0004333D">
      <w:pPr>
        <w:pStyle w:val="NormalWeb"/>
        <w:rPr>
          <w:color w:val="000000"/>
        </w:rPr>
      </w:pPr>
      <w:r>
        <w:rPr>
          <w:color w:val="000000"/>
        </w:rPr>
        <w:t>This phase defines what “good service” means in your environment by clarifying service boundaries, user expectations, and the practical constraints of internal and vendor delivery. It also identifies where service outcomes typically degrade—handoffs, unclear ownership, inconsistent prioritization—so governance is focused on the real sources of friction.</w:t>
      </w:r>
      <w:r>
        <w:rPr>
          <w:color w:val="000000"/>
        </w:rPr>
        <w:br/>
      </w:r>
      <w:r>
        <w:rPr>
          <w:rStyle w:val="Strong"/>
          <w:rFonts w:eastAsiaTheme="majorEastAsia"/>
          <w:color w:val="000000"/>
        </w:rPr>
        <w:t>Purpose</w:t>
      </w:r>
    </w:p>
    <w:p w14:paraId="74DB6B59" w14:textId="77777777" w:rsidR="0004333D" w:rsidRDefault="0004333D" w:rsidP="0004333D">
      <w:pPr>
        <w:pStyle w:val="NormalWeb"/>
        <w:numPr>
          <w:ilvl w:val="0"/>
          <w:numId w:val="10"/>
        </w:numPr>
        <w:rPr>
          <w:color w:val="000000"/>
        </w:rPr>
      </w:pPr>
      <w:r>
        <w:rPr>
          <w:color w:val="000000"/>
        </w:rPr>
        <w:t>Understand the service area scope, dependencies, and decision points</w:t>
      </w:r>
    </w:p>
    <w:p w14:paraId="20B22008" w14:textId="77777777" w:rsidR="0004333D" w:rsidRDefault="0004333D" w:rsidP="0004333D">
      <w:pPr>
        <w:pStyle w:val="NormalWeb"/>
        <w:numPr>
          <w:ilvl w:val="0"/>
          <w:numId w:val="10"/>
        </w:numPr>
        <w:rPr>
          <w:color w:val="000000"/>
        </w:rPr>
      </w:pPr>
      <w:r>
        <w:rPr>
          <w:color w:val="000000"/>
        </w:rPr>
        <w:t>Identify critical risks, compliance needs, and stakeholder expectations</w:t>
      </w:r>
    </w:p>
    <w:p w14:paraId="6C839F8E" w14:textId="77777777" w:rsidR="0004333D" w:rsidRDefault="0004333D" w:rsidP="0004333D">
      <w:pPr>
        <w:pStyle w:val="NormalWeb"/>
        <w:numPr>
          <w:ilvl w:val="0"/>
          <w:numId w:val="10"/>
        </w:numPr>
        <w:rPr>
          <w:color w:val="000000"/>
        </w:rPr>
      </w:pPr>
      <w:r>
        <w:rPr>
          <w:color w:val="000000"/>
        </w:rPr>
        <w:t>Define objectives, boundaries, and accountability requirements</w:t>
      </w:r>
    </w:p>
    <w:p w14:paraId="108D03D3" w14:textId="77777777" w:rsidR="0004333D" w:rsidRDefault="0004333D" w:rsidP="0004333D">
      <w:pPr>
        <w:pStyle w:val="NormalWeb"/>
        <w:rPr>
          <w:color w:val="000000"/>
        </w:rPr>
      </w:pPr>
      <w:r>
        <w:rPr>
          <w:rStyle w:val="Strong"/>
          <w:rFonts w:eastAsiaTheme="majorEastAsia"/>
          <w:color w:val="000000"/>
        </w:rPr>
        <w:t>Why It Matters</w:t>
      </w:r>
    </w:p>
    <w:p w14:paraId="0CD86516" w14:textId="77777777" w:rsidR="0004333D" w:rsidRDefault="0004333D" w:rsidP="0004333D">
      <w:pPr>
        <w:pStyle w:val="NormalWeb"/>
        <w:numPr>
          <w:ilvl w:val="0"/>
          <w:numId w:val="11"/>
        </w:numPr>
        <w:rPr>
          <w:color w:val="000000"/>
        </w:rPr>
      </w:pPr>
      <w:r>
        <w:rPr>
          <w:color w:val="000000"/>
        </w:rPr>
        <w:t>Creates clarity on what must be governed and why</w:t>
      </w:r>
    </w:p>
    <w:p w14:paraId="64AAAFA4" w14:textId="77777777" w:rsidR="0004333D" w:rsidRDefault="0004333D" w:rsidP="0004333D">
      <w:pPr>
        <w:pStyle w:val="NormalWeb"/>
        <w:numPr>
          <w:ilvl w:val="0"/>
          <w:numId w:val="11"/>
        </w:numPr>
        <w:rPr>
          <w:color w:val="000000"/>
        </w:rPr>
      </w:pPr>
      <w:r>
        <w:rPr>
          <w:color w:val="000000"/>
        </w:rPr>
        <w:t>Prevents fragmented oversight and inconsistent decisions</w:t>
      </w:r>
    </w:p>
    <w:p w14:paraId="03211EB1" w14:textId="77777777" w:rsidR="0004333D" w:rsidRDefault="0004333D" w:rsidP="0004333D">
      <w:pPr>
        <w:pStyle w:val="NormalWeb"/>
        <w:numPr>
          <w:ilvl w:val="0"/>
          <w:numId w:val="11"/>
        </w:numPr>
        <w:rPr>
          <w:color w:val="000000"/>
        </w:rPr>
      </w:pPr>
      <w:r>
        <w:rPr>
          <w:color w:val="000000"/>
        </w:rPr>
        <w:t>Improves control over risk from the start</w:t>
      </w:r>
    </w:p>
    <w:p w14:paraId="28A3264C" w14:textId="77777777" w:rsidR="0004333D" w:rsidRDefault="00EC2F1D" w:rsidP="0004333D">
      <w:r>
        <w:rPr>
          <w:noProof/>
        </w:rPr>
        <w:pict w14:anchorId="538573D4">
          <v:rect id="_x0000_i1027" alt="" style="width:431.95pt;height:.05pt;mso-width-percent:0;mso-height-percent:0;mso-width-percent:0;mso-height-percent:0" o:hrpct="923" o:hralign="center" o:hrstd="t" o:hr="t" fillcolor="#a0a0a0" stroked="f"/>
        </w:pict>
      </w:r>
    </w:p>
    <w:p w14:paraId="1600FBB8" w14:textId="77777777" w:rsidR="0004333D" w:rsidRDefault="0004333D" w:rsidP="0004333D">
      <w:pPr>
        <w:pStyle w:val="Heading3"/>
        <w:rPr>
          <w:color w:val="000000"/>
        </w:rPr>
      </w:pPr>
      <w:r>
        <w:rPr>
          <w:color w:val="000000"/>
        </w:rPr>
        <w:t>Current-State Assessment &amp; Gap Analysis</w:t>
      </w:r>
    </w:p>
    <w:p w14:paraId="3EC57E9C" w14:textId="77777777" w:rsidR="0004333D" w:rsidRDefault="0004333D" w:rsidP="0004333D">
      <w:pPr>
        <w:pStyle w:val="NormalWeb"/>
        <w:rPr>
          <w:color w:val="000000"/>
        </w:rPr>
      </w:pPr>
      <w:r>
        <w:rPr>
          <w:color w:val="000000"/>
        </w:rPr>
        <w:t>This phase evaluates whether service performance is measurable and explainable using consistent definitions, rather than interpreted differently by each team or vendor. It also surfaces structural breakdowns—weak escalation paths, inconsistent triage, unclear SLAs/OLAs—that cause recurring incidents and delivery noise.</w:t>
      </w:r>
      <w:r>
        <w:rPr>
          <w:color w:val="000000"/>
        </w:rPr>
        <w:br/>
      </w:r>
      <w:r>
        <w:rPr>
          <w:rStyle w:val="Strong"/>
          <w:rFonts w:eastAsiaTheme="majorEastAsia"/>
          <w:color w:val="000000"/>
        </w:rPr>
        <w:t>Purpose</w:t>
      </w:r>
    </w:p>
    <w:p w14:paraId="39970C6D" w14:textId="77777777" w:rsidR="0004333D" w:rsidRDefault="0004333D" w:rsidP="0004333D">
      <w:pPr>
        <w:pStyle w:val="NormalWeb"/>
        <w:numPr>
          <w:ilvl w:val="0"/>
          <w:numId w:val="12"/>
        </w:numPr>
        <w:rPr>
          <w:color w:val="000000"/>
        </w:rPr>
      </w:pPr>
      <w:r>
        <w:rPr>
          <w:color w:val="000000"/>
        </w:rPr>
        <w:t>Assess current practices, documentation, and control effectiveness</w:t>
      </w:r>
    </w:p>
    <w:p w14:paraId="72C47EB2" w14:textId="77777777" w:rsidR="0004333D" w:rsidRDefault="0004333D" w:rsidP="0004333D">
      <w:pPr>
        <w:pStyle w:val="NormalWeb"/>
        <w:numPr>
          <w:ilvl w:val="0"/>
          <w:numId w:val="12"/>
        </w:numPr>
        <w:rPr>
          <w:color w:val="000000"/>
        </w:rPr>
      </w:pPr>
      <w:r>
        <w:rPr>
          <w:color w:val="000000"/>
        </w:rPr>
        <w:lastRenderedPageBreak/>
        <w:t>Identify gaps, overlaps, and unmanaged risks</w:t>
      </w:r>
    </w:p>
    <w:p w14:paraId="773D6F57" w14:textId="77777777" w:rsidR="0004333D" w:rsidRDefault="0004333D" w:rsidP="0004333D">
      <w:pPr>
        <w:pStyle w:val="NormalWeb"/>
        <w:numPr>
          <w:ilvl w:val="0"/>
          <w:numId w:val="12"/>
        </w:numPr>
        <w:rPr>
          <w:color w:val="000000"/>
        </w:rPr>
      </w:pPr>
      <w:r>
        <w:rPr>
          <w:color w:val="000000"/>
        </w:rPr>
        <w:t>Prioritize remediation based on impact and feasibility</w:t>
      </w:r>
    </w:p>
    <w:p w14:paraId="0AE56667" w14:textId="77777777" w:rsidR="0004333D" w:rsidRDefault="0004333D" w:rsidP="0004333D">
      <w:pPr>
        <w:pStyle w:val="NormalWeb"/>
        <w:rPr>
          <w:color w:val="000000"/>
        </w:rPr>
      </w:pPr>
      <w:r>
        <w:rPr>
          <w:rStyle w:val="Strong"/>
          <w:rFonts w:eastAsiaTheme="majorEastAsia"/>
          <w:color w:val="000000"/>
        </w:rPr>
        <w:t>Why It Matters</w:t>
      </w:r>
    </w:p>
    <w:p w14:paraId="1D963265" w14:textId="77777777" w:rsidR="0004333D" w:rsidRDefault="0004333D" w:rsidP="0004333D">
      <w:pPr>
        <w:pStyle w:val="NormalWeb"/>
        <w:numPr>
          <w:ilvl w:val="0"/>
          <w:numId w:val="13"/>
        </w:numPr>
        <w:rPr>
          <w:color w:val="000000"/>
        </w:rPr>
      </w:pPr>
      <w:r>
        <w:rPr>
          <w:color w:val="000000"/>
        </w:rPr>
        <w:t>Reduces exposure caused by undocumented or inconsistent practices</w:t>
      </w:r>
    </w:p>
    <w:p w14:paraId="26181047" w14:textId="77777777" w:rsidR="0004333D" w:rsidRDefault="0004333D" w:rsidP="0004333D">
      <w:pPr>
        <w:pStyle w:val="NormalWeb"/>
        <w:numPr>
          <w:ilvl w:val="0"/>
          <w:numId w:val="13"/>
        </w:numPr>
        <w:rPr>
          <w:color w:val="000000"/>
        </w:rPr>
      </w:pPr>
      <w:r>
        <w:rPr>
          <w:color w:val="000000"/>
        </w:rPr>
        <w:t>Improves audit defensibility through clearer evidence and ownership</w:t>
      </w:r>
    </w:p>
    <w:p w14:paraId="0435477E" w14:textId="77777777" w:rsidR="0004333D" w:rsidRDefault="0004333D" w:rsidP="0004333D">
      <w:pPr>
        <w:pStyle w:val="NormalWeb"/>
        <w:numPr>
          <w:ilvl w:val="0"/>
          <w:numId w:val="13"/>
        </w:numPr>
        <w:rPr>
          <w:color w:val="000000"/>
        </w:rPr>
      </w:pPr>
      <w:r>
        <w:rPr>
          <w:color w:val="000000"/>
        </w:rPr>
        <w:t>Creates a fact-based baseline for improvement</w:t>
      </w:r>
    </w:p>
    <w:p w14:paraId="0B045C22" w14:textId="77777777" w:rsidR="0004333D" w:rsidRDefault="00EC2F1D" w:rsidP="0004333D">
      <w:r>
        <w:rPr>
          <w:noProof/>
        </w:rPr>
        <w:pict w14:anchorId="401F5A9F">
          <v:rect id="_x0000_i1026" alt="" style="width:431.95pt;height:.05pt;mso-width-percent:0;mso-height-percent:0;mso-width-percent:0;mso-height-percent:0" o:hrpct="923" o:hralign="center" o:hrstd="t" o:hr="t" fillcolor="#a0a0a0" stroked="f"/>
        </w:pict>
      </w:r>
    </w:p>
    <w:p w14:paraId="414F3009" w14:textId="77777777" w:rsidR="0004333D" w:rsidRDefault="0004333D" w:rsidP="0004333D">
      <w:pPr>
        <w:pStyle w:val="Heading3"/>
        <w:rPr>
          <w:color w:val="000000"/>
        </w:rPr>
      </w:pPr>
      <w:r>
        <w:rPr>
          <w:color w:val="000000"/>
        </w:rPr>
        <w:t>Governance Design &amp; Control Standards</w:t>
      </w:r>
    </w:p>
    <w:p w14:paraId="15F29F24" w14:textId="77777777" w:rsidR="0004333D" w:rsidRDefault="0004333D" w:rsidP="0004333D">
      <w:pPr>
        <w:pStyle w:val="NormalWeb"/>
        <w:rPr>
          <w:color w:val="000000"/>
        </w:rPr>
      </w:pPr>
      <w:r>
        <w:rPr>
          <w:color w:val="000000"/>
        </w:rPr>
        <w:t>This phase establishes the service operating model: who owns each service, how demand is prioritized, and how changes and incidents are governed through consistent decision rights. It also defines the minimum control and evidence standards for service management so outcomes are defensible when reliability issues or audit questions arise.</w:t>
      </w:r>
      <w:r>
        <w:rPr>
          <w:color w:val="000000"/>
        </w:rPr>
        <w:br/>
      </w:r>
      <w:r>
        <w:rPr>
          <w:rStyle w:val="Strong"/>
          <w:rFonts w:eastAsiaTheme="majorEastAsia"/>
          <w:color w:val="000000"/>
        </w:rPr>
        <w:t>Purpose</w:t>
      </w:r>
    </w:p>
    <w:p w14:paraId="17CFE1B3" w14:textId="77777777" w:rsidR="0004333D" w:rsidRDefault="0004333D" w:rsidP="0004333D">
      <w:pPr>
        <w:pStyle w:val="NormalWeb"/>
        <w:numPr>
          <w:ilvl w:val="0"/>
          <w:numId w:val="14"/>
        </w:numPr>
        <w:rPr>
          <w:color w:val="000000"/>
        </w:rPr>
      </w:pPr>
      <w:r>
        <w:rPr>
          <w:color w:val="000000"/>
        </w:rPr>
        <w:t>Define roles, decision rights, escalation paths, and oversight routines</w:t>
      </w:r>
    </w:p>
    <w:p w14:paraId="1D125DA8" w14:textId="77777777" w:rsidR="0004333D" w:rsidRDefault="0004333D" w:rsidP="0004333D">
      <w:pPr>
        <w:pStyle w:val="NormalWeb"/>
        <w:numPr>
          <w:ilvl w:val="0"/>
          <w:numId w:val="14"/>
        </w:numPr>
        <w:rPr>
          <w:color w:val="000000"/>
        </w:rPr>
      </w:pPr>
      <w:r>
        <w:rPr>
          <w:color w:val="000000"/>
        </w:rPr>
        <w:t>Establish practical control standards and documentation expectations</w:t>
      </w:r>
    </w:p>
    <w:p w14:paraId="649FB066" w14:textId="77777777" w:rsidR="0004333D" w:rsidRDefault="0004333D" w:rsidP="0004333D">
      <w:pPr>
        <w:pStyle w:val="NormalWeb"/>
        <w:numPr>
          <w:ilvl w:val="0"/>
          <w:numId w:val="14"/>
        </w:numPr>
        <w:rPr>
          <w:color w:val="000000"/>
        </w:rPr>
      </w:pPr>
      <w:r>
        <w:rPr>
          <w:color w:val="000000"/>
        </w:rPr>
        <w:t>Align governance to operating reality and scalability needs</w:t>
      </w:r>
    </w:p>
    <w:p w14:paraId="5D3F2600" w14:textId="77777777" w:rsidR="0004333D" w:rsidRDefault="0004333D" w:rsidP="0004333D">
      <w:pPr>
        <w:pStyle w:val="NormalWeb"/>
        <w:rPr>
          <w:color w:val="000000"/>
        </w:rPr>
      </w:pPr>
      <w:r>
        <w:rPr>
          <w:rStyle w:val="Strong"/>
          <w:rFonts w:eastAsiaTheme="majorEastAsia"/>
          <w:color w:val="000000"/>
        </w:rPr>
        <w:t>Why It Matters</w:t>
      </w:r>
    </w:p>
    <w:p w14:paraId="5AA1ABE2" w14:textId="77777777" w:rsidR="0004333D" w:rsidRDefault="0004333D" w:rsidP="0004333D">
      <w:pPr>
        <w:pStyle w:val="NormalWeb"/>
        <w:numPr>
          <w:ilvl w:val="0"/>
          <w:numId w:val="15"/>
        </w:numPr>
        <w:rPr>
          <w:color w:val="000000"/>
        </w:rPr>
      </w:pPr>
      <w:r>
        <w:rPr>
          <w:color w:val="000000"/>
        </w:rPr>
        <w:t>Improves operational control and accountability</w:t>
      </w:r>
    </w:p>
    <w:p w14:paraId="074BEDCC" w14:textId="77777777" w:rsidR="0004333D" w:rsidRDefault="0004333D" w:rsidP="0004333D">
      <w:pPr>
        <w:pStyle w:val="NormalWeb"/>
        <w:numPr>
          <w:ilvl w:val="0"/>
          <w:numId w:val="15"/>
        </w:numPr>
        <w:rPr>
          <w:color w:val="000000"/>
        </w:rPr>
      </w:pPr>
      <w:r>
        <w:rPr>
          <w:color w:val="000000"/>
        </w:rPr>
        <w:t>Strengthens predictability and consistency across teams and vendors</w:t>
      </w:r>
    </w:p>
    <w:p w14:paraId="06EE65C8" w14:textId="77777777" w:rsidR="0004333D" w:rsidRDefault="0004333D" w:rsidP="0004333D">
      <w:pPr>
        <w:pStyle w:val="NormalWeb"/>
        <w:numPr>
          <w:ilvl w:val="0"/>
          <w:numId w:val="15"/>
        </w:numPr>
        <w:rPr>
          <w:color w:val="000000"/>
        </w:rPr>
      </w:pPr>
      <w:r>
        <w:rPr>
          <w:color w:val="000000"/>
        </w:rPr>
        <w:t>Supports scalable governance as complexity increases</w:t>
      </w:r>
    </w:p>
    <w:p w14:paraId="02C365C1" w14:textId="77777777" w:rsidR="0004333D" w:rsidRDefault="0004333D" w:rsidP="0004333D">
      <w:pPr>
        <w:pStyle w:val="NormalWeb"/>
        <w:rPr>
          <w:color w:val="000000"/>
        </w:rPr>
      </w:pPr>
      <w:r>
        <w:rPr>
          <w:rStyle w:val="Strong"/>
          <w:rFonts w:eastAsiaTheme="majorEastAsia"/>
          <w:color w:val="000000"/>
        </w:rPr>
        <w:t>Optional Framework Reference</w:t>
      </w:r>
    </w:p>
    <w:p w14:paraId="1D234427" w14:textId="77777777" w:rsidR="0004333D" w:rsidRDefault="0004333D" w:rsidP="0004333D">
      <w:pPr>
        <w:pStyle w:val="NormalWeb"/>
        <w:numPr>
          <w:ilvl w:val="0"/>
          <w:numId w:val="16"/>
        </w:numPr>
        <w:rPr>
          <w:color w:val="000000"/>
        </w:rPr>
      </w:pPr>
      <w:r>
        <w:rPr>
          <w:color w:val="000000"/>
        </w:rPr>
        <w:t>ITIL and ISO/IEC 20000-aligned service management principles to reinforce measurable, repeatable delivery discipline</w:t>
      </w:r>
    </w:p>
    <w:p w14:paraId="6CFA57FF" w14:textId="77777777" w:rsidR="0004333D" w:rsidRDefault="00EC2F1D" w:rsidP="0004333D">
      <w:r>
        <w:rPr>
          <w:noProof/>
        </w:rPr>
        <w:pict w14:anchorId="298E220D">
          <v:rect id="_x0000_i1025" alt="" style="width:431.95pt;height:.05pt;mso-width-percent:0;mso-height-percent:0;mso-width-percent:0;mso-height-percent:0" o:hrpct="923" o:hralign="center" o:hrstd="t" o:hr="t" fillcolor="#a0a0a0" stroked="f"/>
        </w:pict>
      </w:r>
    </w:p>
    <w:p w14:paraId="5B0EBB96" w14:textId="77777777" w:rsidR="0004333D" w:rsidRDefault="0004333D" w:rsidP="0004333D">
      <w:pPr>
        <w:pStyle w:val="Heading3"/>
        <w:rPr>
          <w:color w:val="000000"/>
        </w:rPr>
      </w:pPr>
      <w:r>
        <w:rPr>
          <w:color w:val="000000"/>
        </w:rPr>
        <w:t>Operating Discipline &amp; Monitoring</w:t>
      </w:r>
    </w:p>
    <w:p w14:paraId="5F3F3D2F" w14:textId="77777777" w:rsidR="0004333D" w:rsidRDefault="0004333D" w:rsidP="0004333D">
      <w:pPr>
        <w:pStyle w:val="NormalWeb"/>
        <w:rPr>
          <w:color w:val="000000"/>
        </w:rPr>
      </w:pPr>
      <w:r>
        <w:rPr>
          <w:color w:val="000000"/>
        </w:rPr>
        <w:t>This phase turns the framework into a steady cadence—service reviews, performance reporting, exception handling, and continuous improvement—so issues are managed systematically rather than reactively. It also enables early detection of drift (recurring incidents, backlog growth, SLA erosion) so corrective actions happen before reliability degrades materially.</w:t>
      </w:r>
      <w:r>
        <w:rPr>
          <w:color w:val="000000"/>
        </w:rPr>
        <w:br/>
      </w:r>
      <w:r>
        <w:rPr>
          <w:rStyle w:val="Strong"/>
          <w:rFonts w:eastAsiaTheme="majorEastAsia"/>
          <w:color w:val="000000"/>
        </w:rPr>
        <w:t>Purpose</w:t>
      </w:r>
    </w:p>
    <w:p w14:paraId="181B3029" w14:textId="77777777" w:rsidR="0004333D" w:rsidRDefault="0004333D" w:rsidP="0004333D">
      <w:pPr>
        <w:pStyle w:val="NormalWeb"/>
        <w:numPr>
          <w:ilvl w:val="0"/>
          <w:numId w:val="17"/>
        </w:numPr>
        <w:rPr>
          <w:color w:val="000000"/>
        </w:rPr>
      </w:pPr>
      <w:r>
        <w:rPr>
          <w:color w:val="000000"/>
        </w:rPr>
        <w:t>Define repeatable workflows for approvals, changes, and exceptions</w:t>
      </w:r>
    </w:p>
    <w:p w14:paraId="66134093" w14:textId="77777777" w:rsidR="0004333D" w:rsidRDefault="0004333D" w:rsidP="0004333D">
      <w:pPr>
        <w:pStyle w:val="NormalWeb"/>
        <w:numPr>
          <w:ilvl w:val="0"/>
          <w:numId w:val="17"/>
        </w:numPr>
        <w:rPr>
          <w:color w:val="000000"/>
        </w:rPr>
      </w:pPr>
      <w:r>
        <w:rPr>
          <w:color w:val="000000"/>
        </w:rPr>
        <w:lastRenderedPageBreak/>
        <w:t>Establish monitoring metrics and reporting cadence</w:t>
      </w:r>
    </w:p>
    <w:p w14:paraId="0BA143A3" w14:textId="77777777" w:rsidR="0004333D" w:rsidRDefault="0004333D" w:rsidP="0004333D">
      <w:pPr>
        <w:pStyle w:val="NormalWeb"/>
        <w:numPr>
          <w:ilvl w:val="0"/>
          <w:numId w:val="17"/>
        </w:numPr>
        <w:rPr>
          <w:color w:val="000000"/>
        </w:rPr>
      </w:pPr>
      <w:r>
        <w:rPr>
          <w:color w:val="000000"/>
        </w:rPr>
        <w:t>Create a controlled mechanism for continuous refinement</w:t>
      </w:r>
    </w:p>
    <w:p w14:paraId="44AC7DD6" w14:textId="77777777" w:rsidR="0004333D" w:rsidRDefault="0004333D" w:rsidP="0004333D">
      <w:pPr>
        <w:pStyle w:val="NormalWeb"/>
        <w:rPr>
          <w:color w:val="000000"/>
        </w:rPr>
      </w:pPr>
      <w:r>
        <w:rPr>
          <w:rStyle w:val="Strong"/>
          <w:rFonts w:eastAsiaTheme="majorEastAsia"/>
          <w:color w:val="000000"/>
        </w:rPr>
        <w:t>Why It Matters</w:t>
      </w:r>
    </w:p>
    <w:p w14:paraId="2864485F" w14:textId="77777777" w:rsidR="0004333D" w:rsidRDefault="0004333D" w:rsidP="0004333D">
      <w:pPr>
        <w:pStyle w:val="NormalWeb"/>
        <w:numPr>
          <w:ilvl w:val="0"/>
          <w:numId w:val="18"/>
        </w:numPr>
        <w:rPr>
          <w:color w:val="000000"/>
        </w:rPr>
      </w:pPr>
      <w:r>
        <w:rPr>
          <w:color w:val="000000"/>
        </w:rPr>
        <w:t>Prevents governance drift and control decay over time</w:t>
      </w:r>
    </w:p>
    <w:p w14:paraId="2A391EE2" w14:textId="77777777" w:rsidR="0004333D" w:rsidRDefault="0004333D" w:rsidP="0004333D">
      <w:pPr>
        <w:pStyle w:val="NormalWeb"/>
        <w:numPr>
          <w:ilvl w:val="0"/>
          <w:numId w:val="18"/>
        </w:numPr>
        <w:rPr>
          <w:color w:val="000000"/>
        </w:rPr>
      </w:pPr>
      <w:r>
        <w:rPr>
          <w:color w:val="000000"/>
        </w:rPr>
        <w:t>Improves reliability and reduces disruption risk</w:t>
      </w:r>
    </w:p>
    <w:p w14:paraId="6C628AAE" w14:textId="77777777" w:rsidR="0004333D" w:rsidRDefault="0004333D" w:rsidP="0004333D">
      <w:pPr>
        <w:pStyle w:val="NormalWeb"/>
        <w:numPr>
          <w:ilvl w:val="0"/>
          <w:numId w:val="18"/>
        </w:numPr>
        <w:rPr>
          <w:color w:val="000000"/>
        </w:rPr>
      </w:pPr>
      <w:r>
        <w:rPr>
          <w:color w:val="000000"/>
        </w:rPr>
        <w:t>Creates measurable oversight for stakeholder confidence</w:t>
      </w:r>
    </w:p>
    <w:p w14:paraId="67808001" w14:textId="1ED42AB7" w:rsidR="006436B1" w:rsidRPr="0004333D" w:rsidRDefault="006436B1" w:rsidP="0004333D"/>
    <w:sectPr w:rsidR="006436B1" w:rsidRPr="000433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256953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0D346C"/>
    <w:multiLevelType w:val="multilevel"/>
    <w:tmpl w:val="BAAE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C3E8B"/>
    <w:multiLevelType w:val="multilevel"/>
    <w:tmpl w:val="5694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77AFA"/>
    <w:multiLevelType w:val="multilevel"/>
    <w:tmpl w:val="3186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34614"/>
    <w:multiLevelType w:val="multilevel"/>
    <w:tmpl w:val="7F1A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269DF"/>
    <w:multiLevelType w:val="multilevel"/>
    <w:tmpl w:val="BE66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AE67ED"/>
    <w:multiLevelType w:val="multilevel"/>
    <w:tmpl w:val="9142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1553D5"/>
    <w:multiLevelType w:val="multilevel"/>
    <w:tmpl w:val="C1A4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1D6E16"/>
    <w:multiLevelType w:val="multilevel"/>
    <w:tmpl w:val="4142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76490"/>
    <w:multiLevelType w:val="multilevel"/>
    <w:tmpl w:val="4C22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707477">
    <w:abstractNumId w:val="8"/>
  </w:num>
  <w:num w:numId="2" w16cid:durableId="865287368">
    <w:abstractNumId w:val="6"/>
  </w:num>
  <w:num w:numId="3" w16cid:durableId="20211409">
    <w:abstractNumId w:val="5"/>
  </w:num>
  <w:num w:numId="4" w16cid:durableId="1729573993">
    <w:abstractNumId w:val="4"/>
  </w:num>
  <w:num w:numId="5" w16cid:durableId="292247882">
    <w:abstractNumId w:val="7"/>
  </w:num>
  <w:num w:numId="6" w16cid:durableId="428239371">
    <w:abstractNumId w:val="3"/>
  </w:num>
  <w:num w:numId="7" w16cid:durableId="423842243">
    <w:abstractNumId w:val="2"/>
  </w:num>
  <w:num w:numId="8" w16cid:durableId="1189299982">
    <w:abstractNumId w:val="1"/>
  </w:num>
  <w:num w:numId="9" w16cid:durableId="151064213">
    <w:abstractNumId w:val="0"/>
  </w:num>
  <w:num w:numId="10" w16cid:durableId="1215459787">
    <w:abstractNumId w:val="11"/>
  </w:num>
  <w:num w:numId="11" w16cid:durableId="79102937">
    <w:abstractNumId w:val="15"/>
  </w:num>
  <w:num w:numId="12" w16cid:durableId="586620173">
    <w:abstractNumId w:val="14"/>
  </w:num>
  <w:num w:numId="13" w16cid:durableId="1612861542">
    <w:abstractNumId w:val="12"/>
  </w:num>
  <w:num w:numId="14" w16cid:durableId="1546677982">
    <w:abstractNumId w:val="13"/>
  </w:num>
  <w:num w:numId="15" w16cid:durableId="1515026803">
    <w:abstractNumId w:val="10"/>
  </w:num>
  <w:num w:numId="16" w16cid:durableId="1585453517">
    <w:abstractNumId w:val="17"/>
  </w:num>
  <w:num w:numId="17" w16cid:durableId="576020322">
    <w:abstractNumId w:val="9"/>
  </w:num>
  <w:num w:numId="18" w16cid:durableId="2766478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33D"/>
    <w:rsid w:val="0006063C"/>
    <w:rsid w:val="0015074B"/>
    <w:rsid w:val="0029639D"/>
    <w:rsid w:val="00326F90"/>
    <w:rsid w:val="006436B1"/>
    <w:rsid w:val="00AA1D8D"/>
    <w:rsid w:val="00B47730"/>
    <w:rsid w:val="00CB0664"/>
    <w:rsid w:val="00CD6F65"/>
    <w:rsid w:val="00EC2F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D57CB"/>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433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43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473</Words>
  <Characters>3503</Characters>
  <Application>Microsoft Office Word</Application>
  <DocSecurity>0</DocSecurity>
  <Lines>76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2026-02-01T19:44:00Z</dcterms:modified>
  <cp:category/>
</cp:coreProperties>
</file>