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6573" w14:textId="77777777" w:rsidR="00713224" w:rsidRDefault="00713224" w:rsidP="00713224">
      <w:pPr>
        <w:pStyle w:val="Heading2"/>
        <w:rPr>
          <w:color w:val="000000"/>
        </w:rPr>
      </w:pPr>
      <w:r>
        <w:rPr>
          <w:color w:val="000000"/>
        </w:rPr>
        <w:t>IT Strategy &amp; Enterprise IT Governance</w:t>
      </w:r>
    </w:p>
    <w:p w14:paraId="70DBE8B5" w14:textId="77777777" w:rsidR="00713224" w:rsidRDefault="00713224" w:rsidP="00713224">
      <w:pPr>
        <w:pStyle w:val="Heading3"/>
        <w:rPr>
          <w:color w:val="000000"/>
        </w:rPr>
      </w:pPr>
      <w:r>
        <w:rPr>
          <w:color w:val="000000"/>
        </w:rPr>
        <w:t>Service Summary (3–5 Sentences)</w:t>
      </w:r>
    </w:p>
    <w:p w14:paraId="3F7B523A" w14:textId="77777777" w:rsidR="00713224" w:rsidRDefault="00713224" w:rsidP="00713224">
      <w:pPr>
        <w:pStyle w:val="NormalWeb"/>
        <w:rPr>
          <w:color w:val="000000"/>
        </w:rPr>
      </w:pPr>
      <w:r>
        <w:rPr>
          <w:color w:val="000000"/>
        </w:rPr>
        <w:t>IT Strategy &amp; Enterprise IT Governance establishes disciplined oversight to manage technology investment decisions, prioritization, funding discipline, and oversight with clear accountability, consistent controls, and defensible documentation. As technology complexity grows, unmanaged decisions in this area can create operational instability, control failures, and regulatory exposure. Quantum delivers governance-first, control-driven advisory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framework expectations into practical operating discipline. The outcome is improved reliability, audit defensibility, and scalable governance aligned to enterprise needs.</w:t>
      </w:r>
    </w:p>
    <w:p w14:paraId="790E5941" w14:textId="77777777" w:rsidR="00713224" w:rsidRDefault="00762060" w:rsidP="00713224">
      <w:r>
        <w:rPr>
          <w:noProof/>
        </w:rPr>
        <w:pict w14:anchorId="19164C4F">
          <v:rect id="_x0000_i1028" alt="" style="width:431.95pt;height:.05pt;mso-width-percent:0;mso-height-percent:0;mso-width-percent:0;mso-height-percent:0" o:hrpct="923" o:hralign="center" o:hrstd="t" o:hr="t" fillcolor="#a0a0a0" stroked="f"/>
        </w:pict>
      </w:r>
    </w:p>
    <w:p w14:paraId="3682F8D1" w14:textId="77777777" w:rsidR="00713224" w:rsidRDefault="00713224" w:rsidP="00713224">
      <w:pPr>
        <w:pStyle w:val="Heading3"/>
        <w:rPr>
          <w:color w:val="000000"/>
        </w:rPr>
      </w:pPr>
      <w:r>
        <w:rPr>
          <w:color w:val="000000"/>
        </w:rPr>
        <w:t>Discovery &amp; Operating Context</w:t>
      </w:r>
    </w:p>
    <w:p w14:paraId="59903A79" w14:textId="77777777" w:rsidR="00713224" w:rsidRDefault="00713224" w:rsidP="00713224">
      <w:pPr>
        <w:pStyle w:val="NormalWeb"/>
        <w:rPr>
          <w:color w:val="000000"/>
        </w:rPr>
      </w:pPr>
      <w:r>
        <w:rPr>
          <w:color w:val="000000"/>
        </w:rPr>
        <w:t>This phase clarifies what the organization is trying to achieve with technology and what constraints shape decision-making, including capacity, risk tolerance, and regulatory expectations. It also identifies where investment decisions typically stall or fragment—portfolio tradeoffs, overlapping initiatives, and unclear ownership—so governance is designed for real-world execution.</w:t>
      </w:r>
      <w:r>
        <w:rPr>
          <w:color w:val="000000"/>
        </w:rPr>
        <w:br/>
      </w:r>
      <w:r>
        <w:rPr>
          <w:rStyle w:val="Strong"/>
          <w:rFonts w:eastAsiaTheme="majorEastAsia"/>
          <w:color w:val="000000"/>
        </w:rPr>
        <w:t>Purpose</w:t>
      </w:r>
    </w:p>
    <w:p w14:paraId="0D2017EA" w14:textId="77777777" w:rsidR="00713224" w:rsidRDefault="00713224" w:rsidP="00713224">
      <w:pPr>
        <w:pStyle w:val="NormalWeb"/>
        <w:numPr>
          <w:ilvl w:val="0"/>
          <w:numId w:val="10"/>
        </w:numPr>
        <w:rPr>
          <w:color w:val="000000"/>
        </w:rPr>
      </w:pPr>
      <w:r>
        <w:rPr>
          <w:color w:val="000000"/>
        </w:rPr>
        <w:t>Understand the service area scope, dependencies, and decision points</w:t>
      </w:r>
    </w:p>
    <w:p w14:paraId="23422B53" w14:textId="77777777" w:rsidR="00713224" w:rsidRDefault="00713224" w:rsidP="00713224">
      <w:pPr>
        <w:pStyle w:val="NormalWeb"/>
        <w:numPr>
          <w:ilvl w:val="0"/>
          <w:numId w:val="10"/>
        </w:numPr>
        <w:rPr>
          <w:color w:val="000000"/>
        </w:rPr>
      </w:pPr>
      <w:r>
        <w:rPr>
          <w:color w:val="000000"/>
        </w:rPr>
        <w:t>Identify critical risks, compliance needs, and stakeholder expectations</w:t>
      </w:r>
    </w:p>
    <w:p w14:paraId="3C84D549" w14:textId="77777777" w:rsidR="00713224" w:rsidRDefault="00713224" w:rsidP="00713224">
      <w:pPr>
        <w:pStyle w:val="NormalWeb"/>
        <w:numPr>
          <w:ilvl w:val="0"/>
          <w:numId w:val="10"/>
        </w:numPr>
        <w:rPr>
          <w:color w:val="000000"/>
        </w:rPr>
      </w:pPr>
      <w:r>
        <w:rPr>
          <w:color w:val="000000"/>
        </w:rPr>
        <w:t>Define objectives, boundaries, and accountability requirements</w:t>
      </w:r>
    </w:p>
    <w:p w14:paraId="4EF72BF5" w14:textId="77777777" w:rsidR="00713224" w:rsidRDefault="00713224" w:rsidP="00713224">
      <w:pPr>
        <w:pStyle w:val="NormalWeb"/>
        <w:rPr>
          <w:color w:val="000000"/>
        </w:rPr>
      </w:pPr>
      <w:r>
        <w:rPr>
          <w:rStyle w:val="Strong"/>
          <w:rFonts w:eastAsiaTheme="majorEastAsia"/>
          <w:color w:val="000000"/>
        </w:rPr>
        <w:t>Why It Matters</w:t>
      </w:r>
    </w:p>
    <w:p w14:paraId="7B5E390E" w14:textId="77777777" w:rsidR="00713224" w:rsidRDefault="00713224" w:rsidP="00713224">
      <w:pPr>
        <w:pStyle w:val="NormalWeb"/>
        <w:numPr>
          <w:ilvl w:val="0"/>
          <w:numId w:val="11"/>
        </w:numPr>
        <w:rPr>
          <w:color w:val="000000"/>
        </w:rPr>
      </w:pPr>
      <w:r>
        <w:rPr>
          <w:color w:val="000000"/>
        </w:rPr>
        <w:t>Creates clarity on what must be governed and why</w:t>
      </w:r>
    </w:p>
    <w:p w14:paraId="68BFD33B" w14:textId="77777777" w:rsidR="00713224" w:rsidRDefault="00713224" w:rsidP="00713224">
      <w:pPr>
        <w:pStyle w:val="NormalWeb"/>
        <w:numPr>
          <w:ilvl w:val="0"/>
          <w:numId w:val="11"/>
        </w:numPr>
        <w:rPr>
          <w:color w:val="000000"/>
        </w:rPr>
      </w:pPr>
      <w:r>
        <w:rPr>
          <w:color w:val="000000"/>
        </w:rPr>
        <w:t>Prevents fragmented oversight and inconsistent decisions</w:t>
      </w:r>
    </w:p>
    <w:p w14:paraId="22177619" w14:textId="77777777" w:rsidR="00713224" w:rsidRDefault="00713224" w:rsidP="00713224">
      <w:pPr>
        <w:pStyle w:val="NormalWeb"/>
        <w:numPr>
          <w:ilvl w:val="0"/>
          <w:numId w:val="11"/>
        </w:numPr>
        <w:rPr>
          <w:color w:val="000000"/>
        </w:rPr>
      </w:pPr>
      <w:r>
        <w:rPr>
          <w:color w:val="000000"/>
        </w:rPr>
        <w:t>Improves control over risk from the start</w:t>
      </w:r>
    </w:p>
    <w:p w14:paraId="791A53A0" w14:textId="77777777" w:rsidR="00713224" w:rsidRDefault="00762060" w:rsidP="00713224">
      <w:r>
        <w:rPr>
          <w:noProof/>
        </w:rPr>
        <w:pict w14:anchorId="31F88E4D">
          <v:rect id="_x0000_i1027" alt="" style="width:431.95pt;height:.05pt;mso-width-percent:0;mso-height-percent:0;mso-width-percent:0;mso-height-percent:0" o:hrpct="923" o:hralign="center" o:hrstd="t" o:hr="t" fillcolor="#a0a0a0" stroked="f"/>
        </w:pict>
      </w:r>
    </w:p>
    <w:p w14:paraId="02072A53" w14:textId="77777777" w:rsidR="00713224" w:rsidRDefault="00713224" w:rsidP="00713224">
      <w:pPr>
        <w:pStyle w:val="Heading3"/>
        <w:rPr>
          <w:color w:val="000000"/>
        </w:rPr>
      </w:pPr>
      <w:r>
        <w:rPr>
          <w:color w:val="000000"/>
        </w:rPr>
        <w:t>Current-State Assessment &amp; Gap Analysis</w:t>
      </w:r>
    </w:p>
    <w:p w14:paraId="67EF55BE" w14:textId="77777777" w:rsidR="00713224" w:rsidRDefault="00713224" w:rsidP="00713224">
      <w:pPr>
        <w:pStyle w:val="NormalWeb"/>
        <w:rPr>
          <w:color w:val="000000"/>
        </w:rPr>
      </w:pPr>
      <w:r>
        <w:rPr>
          <w:color w:val="000000"/>
        </w:rPr>
        <w:t>This phase evaluates whether prioritization and funding decisions are supported by consistent criteria, comparable business cases, and transparent tradeoffs—not informal influence or urgency. It also surfaces structural issues (duplicate governance forums, unclear escalation paths, inconsistent measurement) that cause chronic overcommitment and delayed outcomes.</w:t>
      </w:r>
      <w:r>
        <w:rPr>
          <w:color w:val="000000"/>
        </w:rPr>
        <w:br/>
      </w:r>
      <w:r>
        <w:rPr>
          <w:rStyle w:val="Strong"/>
          <w:rFonts w:eastAsiaTheme="majorEastAsia"/>
          <w:color w:val="000000"/>
        </w:rPr>
        <w:t>Purpose</w:t>
      </w:r>
    </w:p>
    <w:p w14:paraId="63B93E94" w14:textId="77777777" w:rsidR="00713224" w:rsidRDefault="00713224" w:rsidP="00713224">
      <w:pPr>
        <w:pStyle w:val="NormalWeb"/>
        <w:numPr>
          <w:ilvl w:val="0"/>
          <w:numId w:val="12"/>
        </w:numPr>
        <w:rPr>
          <w:color w:val="000000"/>
        </w:rPr>
      </w:pPr>
      <w:r>
        <w:rPr>
          <w:color w:val="000000"/>
        </w:rPr>
        <w:lastRenderedPageBreak/>
        <w:t>Assess current practices, documentation, and control effectiveness</w:t>
      </w:r>
    </w:p>
    <w:p w14:paraId="54A29B77" w14:textId="77777777" w:rsidR="00713224" w:rsidRDefault="00713224" w:rsidP="00713224">
      <w:pPr>
        <w:pStyle w:val="NormalWeb"/>
        <w:numPr>
          <w:ilvl w:val="0"/>
          <w:numId w:val="12"/>
        </w:numPr>
        <w:rPr>
          <w:color w:val="000000"/>
        </w:rPr>
      </w:pPr>
      <w:r>
        <w:rPr>
          <w:color w:val="000000"/>
        </w:rPr>
        <w:t>Identify gaps, overlaps, and unmanaged risks</w:t>
      </w:r>
    </w:p>
    <w:p w14:paraId="7D330D0D" w14:textId="77777777" w:rsidR="00713224" w:rsidRDefault="00713224" w:rsidP="00713224">
      <w:pPr>
        <w:pStyle w:val="NormalWeb"/>
        <w:numPr>
          <w:ilvl w:val="0"/>
          <w:numId w:val="12"/>
        </w:numPr>
        <w:rPr>
          <w:color w:val="000000"/>
        </w:rPr>
      </w:pPr>
      <w:r>
        <w:rPr>
          <w:color w:val="000000"/>
        </w:rPr>
        <w:t>Prioritize remediation based on impact and feasibility</w:t>
      </w:r>
    </w:p>
    <w:p w14:paraId="2A88B059" w14:textId="77777777" w:rsidR="00713224" w:rsidRDefault="00713224" w:rsidP="00713224">
      <w:pPr>
        <w:pStyle w:val="NormalWeb"/>
        <w:rPr>
          <w:color w:val="000000"/>
        </w:rPr>
      </w:pPr>
      <w:r>
        <w:rPr>
          <w:rStyle w:val="Strong"/>
          <w:rFonts w:eastAsiaTheme="majorEastAsia"/>
          <w:color w:val="000000"/>
        </w:rPr>
        <w:t>Why It Matters</w:t>
      </w:r>
    </w:p>
    <w:p w14:paraId="58E20D23" w14:textId="77777777" w:rsidR="00713224" w:rsidRDefault="00713224" w:rsidP="00713224">
      <w:pPr>
        <w:pStyle w:val="NormalWeb"/>
        <w:numPr>
          <w:ilvl w:val="0"/>
          <w:numId w:val="13"/>
        </w:numPr>
        <w:rPr>
          <w:color w:val="000000"/>
        </w:rPr>
      </w:pPr>
      <w:r>
        <w:rPr>
          <w:color w:val="000000"/>
        </w:rPr>
        <w:t>Reduces exposure caused by undocumented or inconsistent practices</w:t>
      </w:r>
    </w:p>
    <w:p w14:paraId="731EEA81" w14:textId="77777777" w:rsidR="00713224" w:rsidRDefault="00713224" w:rsidP="00713224">
      <w:pPr>
        <w:pStyle w:val="NormalWeb"/>
        <w:numPr>
          <w:ilvl w:val="0"/>
          <w:numId w:val="13"/>
        </w:numPr>
        <w:rPr>
          <w:color w:val="000000"/>
        </w:rPr>
      </w:pPr>
      <w:r>
        <w:rPr>
          <w:color w:val="000000"/>
        </w:rPr>
        <w:t>Improves audit defensibility through clearer evidence and ownership</w:t>
      </w:r>
    </w:p>
    <w:p w14:paraId="04173B32" w14:textId="77777777" w:rsidR="00713224" w:rsidRDefault="00713224" w:rsidP="00713224">
      <w:pPr>
        <w:pStyle w:val="NormalWeb"/>
        <w:numPr>
          <w:ilvl w:val="0"/>
          <w:numId w:val="13"/>
        </w:numPr>
        <w:rPr>
          <w:color w:val="000000"/>
        </w:rPr>
      </w:pPr>
      <w:r>
        <w:rPr>
          <w:color w:val="000000"/>
        </w:rPr>
        <w:t>Creates a fact-based baseline for improvement</w:t>
      </w:r>
    </w:p>
    <w:p w14:paraId="0A46A909" w14:textId="77777777" w:rsidR="00713224" w:rsidRDefault="00762060" w:rsidP="00713224">
      <w:r>
        <w:rPr>
          <w:noProof/>
        </w:rPr>
        <w:pict w14:anchorId="5C98B510">
          <v:rect id="_x0000_i1026" alt="" style="width:431.95pt;height:.05pt;mso-width-percent:0;mso-height-percent:0;mso-width-percent:0;mso-height-percent:0" o:hrpct="923" o:hralign="center" o:hrstd="t" o:hr="t" fillcolor="#a0a0a0" stroked="f"/>
        </w:pict>
      </w:r>
    </w:p>
    <w:p w14:paraId="53CF76C4" w14:textId="77777777" w:rsidR="00713224" w:rsidRDefault="00713224" w:rsidP="00713224">
      <w:pPr>
        <w:pStyle w:val="Heading3"/>
        <w:rPr>
          <w:color w:val="000000"/>
        </w:rPr>
      </w:pPr>
      <w:r>
        <w:rPr>
          <w:color w:val="000000"/>
        </w:rPr>
        <w:t>Governance Design &amp; Control Standards</w:t>
      </w:r>
    </w:p>
    <w:p w14:paraId="590C1564" w14:textId="77777777" w:rsidR="00713224" w:rsidRDefault="00713224" w:rsidP="00713224">
      <w:pPr>
        <w:pStyle w:val="NormalWeb"/>
        <w:rPr>
          <w:color w:val="000000"/>
        </w:rPr>
      </w:pPr>
      <w:r>
        <w:rPr>
          <w:color w:val="000000"/>
        </w:rPr>
        <w:t>This phase establishes the decision architecture—who decides what, based on which evidence, and how exceptions are handled—so governance is repeatable and defensible across the portfolio. It also standardizes “minimum governance artifacts” (e.g., decision records, investment rationale, risk acceptance documentation) so outcomes remain explainable when priorities shift or scrutiny increases.</w:t>
      </w:r>
      <w:r>
        <w:rPr>
          <w:color w:val="000000"/>
        </w:rPr>
        <w:br/>
      </w:r>
      <w:r>
        <w:rPr>
          <w:rStyle w:val="Strong"/>
          <w:rFonts w:eastAsiaTheme="majorEastAsia"/>
          <w:color w:val="000000"/>
        </w:rPr>
        <w:t>Purpose</w:t>
      </w:r>
    </w:p>
    <w:p w14:paraId="3F9D9583" w14:textId="77777777" w:rsidR="00713224" w:rsidRDefault="00713224" w:rsidP="00713224">
      <w:pPr>
        <w:pStyle w:val="NormalWeb"/>
        <w:numPr>
          <w:ilvl w:val="0"/>
          <w:numId w:val="14"/>
        </w:numPr>
        <w:rPr>
          <w:color w:val="000000"/>
        </w:rPr>
      </w:pPr>
      <w:r>
        <w:rPr>
          <w:color w:val="000000"/>
        </w:rPr>
        <w:t>Define roles, decision rights, escalation paths, and oversight routines</w:t>
      </w:r>
    </w:p>
    <w:p w14:paraId="1B7DA9EB" w14:textId="77777777" w:rsidR="00713224" w:rsidRDefault="00713224" w:rsidP="00713224">
      <w:pPr>
        <w:pStyle w:val="NormalWeb"/>
        <w:numPr>
          <w:ilvl w:val="0"/>
          <w:numId w:val="14"/>
        </w:numPr>
        <w:rPr>
          <w:color w:val="000000"/>
        </w:rPr>
      </w:pPr>
      <w:r>
        <w:rPr>
          <w:color w:val="000000"/>
        </w:rPr>
        <w:t>Establish practical control standards and documentation expectations</w:t>
      </w:r>
    </w:p>
    <w:p w14:paraId="3EEC625B" w14:textId="77777777" w:rsidR="00713224" w:rsidRDefault="00713224" w:rsidP="00713224">
      <w:pPr>
        <w:pStyle w:val="NormalWeb"/>
        <w:numPr>
          <w:ilvl w:val="0"/>
          <w:numId w:val="14"/>
        </w:numPr>
        <w:rPr>
          <w:color w:val="000000"/>
        </w:rPr>
      </w:pPr>
      <w:r>
        <w:rPr>
          <w:color w:val="000000"/>
        </w:rPr>
        <w:t>Align governance to operating reality and scalability needs</w:t>
      </w:r>
    </w:p>
    <w:p w14:paraId="0D860990" w14:textId="77777777" w:rsidR="00713224" w:rsidRDefault="00713224" w:rsidP="00713224">
      <w:pPr>
        <w:pStyle w:val="NormalWeb"/>
        <w:rPr>
          <w:color w:val="000000"/>
        </w:rPr>
      </w:pPr>
      <w:r>
        <w:rPr>
          <w:rStyle w:val="Strong"/>
          <w:rFonts w:eastAsiaTheme="majorEastAsia"/>
          <w:color w:val="000000"/>
        </w:rPr>
        <w:t>Why It Matters</w:t>
      </w:r>
    </w:p>
    <w:p w14:paraId="6A299E3F" w14:textId="77777777" w:rsidR="00713224" w:rsidRDefault="00713224" w:rsidP="00713224">
      <w:pPr>
        <w:pStyle w:val="NormalWeb"/>
        <w:numPr>
          <w:ilvl w:val="0"/>
          <w:numId w:val="15"/>
        </w:numPr>
        <w:rPr>
          <w:color w:val="000000"/>
        </w:rPr>
      </w:pPr>
      <w:r>
        <w:rPr>
          <w:color w:val="000000"/>
        </w:rPr>
        <w:t>Improves operational control and accountability</w:t>
      </w:r>
    </w:p>
    <w:p w14:paraId="59A8B4EC" w14:textId="77777777" w:rsidR="00713224" w:rsidRDefault="00713224" w:rsidP="00713224">
      <w:pPr>
        <w:pStyle w:val="NormalWeb"/>
        <w:numPr>
          <w:ilvl w:val="0"/>
          <w:numId w:val="15"/>
        </w:numPr>
        <w:rPr>
          <w:color w:val="000000"/>
        </w:rPr>
      </w:pPr>
      <w:r>
        <w:rPr>
          <w:color w:val="000000"/>
        </w:rPr>
        <w:t>Strengthens predictability and consistency across teams and vendors</w:t>
      </w:r>
    </w:p>
    <w:p w14:paraId="38319A00" w14:textId="77777777" w:rsidR="00713224" w:rsidRDefault="00713224" w:rsidP="00713224">
      <w:pPr>
        <w:pStyle w:val="NormalWeb"/>
        <w:numPr>
          <w:ilvl w:val="0"/>
          <w:numId w:val="15"/>
        </w:numPr>
        <w:rPr>
          <w:color w:val="000000"/>
        </w:rPr>
      </w:pPr>
      <w:r>
        <w:rPr>
          <w:color w:val="000000"/>
        </w:rPr>
        <w:t>Supports scalable governance as complexity increases</w:t>
      </w:r>
    </w:p>
    <w:p w14:paraId="61EDCACA" w14:textId="77777777" w:rsidR="00713224" w:rsidRDefault="00713224" w:rsidP="00713224">
      <w:pPr>
        <w:pStyle w:val="NormalWeb"/>
        <w:rPr>
          <w:color w:val="000000"/>
        </w:rPr>
      </w:pPr>
      <w:r>
        <w:rPr>
          <w:rStyle w:val="Strong"/>
          <w:rFonts w:eastAsiaTheme="majorEastAsia"/>
          <w:color w:val="000000"/>
        </w:rPr>
        <w:t>Optional Framework Reference</w:t>
      </w:r>
    </w:p>
    <w:p w14:paraId="7A898A96" w14:textId="77777777" w:rsidR="00713224" w:rsidRDefault="00713224" w:rsidP="00713224">
      <w:pPr>
        <w:pStyle w:val="NormalWeb"/>
        <w:numPr>
          <w:ilvl w:val="0"/>
          <w:numId w:val="16"/>
        </w:numPr>
        <w:rPr>
          <w:color w:val="000000"/>
        </w:rPr>
      </w:pPr>
      <w:r>
        <w:rPr>
          <w:color w:val="000000"/>
        </w:rPr>
        <w:t>ISO/IEC 38500 and COBIT-aligned governance principles to reinforce decision rights and accountability</w:t>
      </w:r>
    </w:p>
    <w:p w14:paraId="09968937" w14:textId="77777777" w:rsidR="00713224" w:rsidRDefault="00762060" w:rsidP="00713224">
      <w:r>
        <w:rPr>
          <w:noProof/>
        </w:rPr>
        <w:pict w14:anchorId="37001BE2">
          <v:rect id="_x0000_i1025" alt="" style="width:431.95pt;height:.05pt;mso-width-percent:0;mso-height-percent:0;mso-width-percent:0;mso-height-percent:0" o:hrpct="923" o:hralign="center" o:hrstd="t" o:hr="t" fillcolor="#a0a0a0" stroked="f"/>
        </w:pict>
      </w:r>
    </w:p>
    <w:p w14:paraId="6F1ACC08" w14:textId="77777777" w:rsidR="00713224" w:rsidRDefault="00713224" w:rsidP="00713224">
      <w:pPr>
        <w:pStyle w:val="Heading3"/>
        <w:rPr>
          <w:color w:val="000000"/>
        </w:rPr>
      </w:pPr>
      <w:r>
        <w:rPr>
          <w:color w:val="000000"/>
        </w:rPr>
        <w:t>Operating Discipline &amp; Monitoring</w:t>
      </w:r>
    </w:p>
    <w:p w14:paraId="721252ED" w14:textId="77777777" w:rsidR="00713224" w:rsidRDefault="00713224" w:rsidP="00713224">
      <w:pPr>
        <w:pStyle w:val="NormalWeb"/>
        <w:rPr>
          <w:color w:val="000000"/>
        </w:rPr>
      </w:pPr>
      <w:r>
        <w:rPr>
          <w:color w:val="000000"/>
        </w:rPr>
        <w:t>This phase turns governance into an operating rhythm that remains effective during change—budget cycles, delivery pressures, incidents, and shifting business priorities. It also creates structured visibility into portfolio health (benefits realization, delivery risk, control exceptions, dependency bottlenecks) so corrective actions occur early rather than after outcomes slip.</w:t>
      </w:r>
      <w:r>
        <w:rPr>
          <w:color w:val="000000"/>
        </w:rPr>
        <w:br/>
      </w:r>
      <w:r>
        <w:rPr>
          <w:rStyle w:val="Strong"/>
          <w:rFonts w:eastAsiaTheme="majorEastAsia"/>
          <w:color w:val="000000"/>
        </w:rPr>
        <w:t>Purpose</w:t>
      </w:r>
    </w:p>
    <w:p w14:paraId="44045040" w14:textId="77777777" w:rsidR="00713224" w:rsidRDefault="00713224" w:rsidP="00713224">
      <w:pPr>
        <w:pStyle w:val="NormalWeb"/>
        <w:numPr>
          <w:ilvl w:val="0"/>
          <w:numId w:val="17"/>
        </w:numPr>
        <w:rPr>
          <w:color w:val="000000"/>
        </w:rPr>
      </w:pPr>
      <w:r>
        <w:rPr>
          <w:color w:val="000000"/>
        </w:rPr>
        <w:lastRenderedPageBreak/>
        <w:t>Define repeatable workflows for approvals, changes, and exceptions</w:t>
      </w:r>
    </w:p>
    <w:p w14:paraId="74876E5B" w14:textId="77777777" w:rsidR="00713224" w:rsidRDefault="00713224" w:rsidP="00713224">
      <w:pPr>
        <w:pStyle w:val="NormalWeb"/>
        <w:numPr>
          <w:ilvl w:val="0"/>
          <w:numId w:val="17"/>
        </w:numPr>
        <w:rPr>
          <w:color w:val="000000"/>
        </w:rPr>
      </w:pPr>
      <w:r>
        <w:rPr>
          <w:color w:val="000000"/>
        </w:rPr>
        <w:t>Establish monitoring metrics and reporting cadence</w:t>
      </w:r>
    </w:p>
    <w:p w14:paraId="0AA1815D" w14:textId="77777777" w:rsidR="00713224" w:rsidRDefault="00713224" w:rsidP="00713224">
      <w:pPr>
        <w:pStyle w:val="NormalWeb"/>
        <w:numPr>
          <w:ilvl w:val="0"/>
          <w:numId w:val="17"/>
        </w:numPr>
        <w:rPr>
          <w:color w:val="000000"/>
        </w:rPr>
      </w:pPr>
      <w:r>
        <w:rPr>
          <w:color w:val="000000"/>
        </w:rPr>
        <w:t>Create a controlled mechanism for continuous refinement</w:t>
      </w:r>
    </w:p>
    <w:p w14:paraId="70EC7A44" w14:textId="77777777" w:rsidR="00713224" w:rsidRDefault="00713224" w:rsidP="00713224">
      <w:pPr>
        <w:pStyle w:val="NormalWeb"/>
        <w:rPr>
          <w:color w:val="000000"/>
        </w:rPr>
      </w:pPr>
      <w:r>
        <w:rPr>
          <w:rStyle w:val="Strong"/>
          <w:rFonts w:eastAsiaTheme="majorEastAsia"/>
          <w:color w:val="000000"/>
        </w:rPr>
        <w:t>Why It Matters</w:t>
      </w:r>
    </w:p>
    <w:p w14:paraId="3B1B665C" w14:textId="77777777" w:rsidR="00713224" w:rsidRDefault="00713224" w:rsidP="00713224">
      <w:pPr>
        <w:pStyle w:val="NormalWeb"/>
        <w:numPr>
          <w:ilvl w:val="0"/>
          <w:numId w:val="18"/>
        </w:numPr>
        <w:rPr>
          <w:color w:val="000000"/>
        </w:rPr>
      </w:pPr>
      <w:r>
        <w:rPr>
          <w:color w:val="000000"/>
        </w:rPr>
        <w:t>Prevents governance drift and control decay over time</w:t>
      </w:r>
    </w:p>
    <w:p w14:paraId="2532A13A" w14:textId="77777777" w:rsidR="00713224" w:rsidRDefault="00713224" w:rsidP="00713224">
      <w:pPr>
        <w:pStyle w:val="NormalWeb"/>
        <w:numPr>
          <w:ilvl w:val="0"/>
          <w:numId w:val="18"/>
        </w:numPr>
        <w:rPr>
          <w:color w:val="000000"/>
        </w:rPr>
      </w:pPr>
      <w:r>
        <w:rPr>
          <w:color w:val="000000"/>
        </w:rPr>
        <w:t>Improves reliability and reduces disruption risk</w:t>
      </w:r>
    </w:p>
    <w:p w14:paraId="226004B1" w14:textId="77777777" w:rsidR="00713224" w:rsidRDefault="00713224" w:rsidP="00713224">
      <w:pPr>
        <w:pStyle w:val="NormalWeb"/>
        <w:numPr>
          <w:ilvl w:val="0"/>
          <w:numId w:val="18"/>
        </w:numPr>
        <w:rPr>
          <w:color w:val="000000"/>
        </w:rPr>
      </w:pPr>
      <w:r>
        <w:rPr>
          <w:color w:val="000000"/>
        </w:rPr>
        <w:t>Creates measurable oversight for stakeholder confidence</w:t>
      </w:r>
    </w:p>
    <w:p w14:paraId="0232FF56" w14:textId="689B851B" w:rsidR="00ED1724" w:rsidRPr="00713224" w:rsidRDefault="00ED1724" w:rsidP="00713224"/>
    <w:sectPr w:rsidR="00ED1724" w:rsidRPr="007132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D43A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9B5E30"/>
    <w:multiLevelType w:val="multilevel"/>
    <w:tmpl w:val="2F1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A4FF4"/>
    <w:multiLevelType w:val="multilevel"/>
    <w:tmpl w:val="027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B4775"/>
    <w:multiLevelType w:val="multilevel"/>
    <w:tmpl w:val="1B6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52B9A"/>
    <w:multiLevelType w:val="multilevel"/>
    <w:tmpl w:val="EC5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40A71"/>
    <w:multiLevelType w:val="multilevel"/>
    <w:tmpl w:val="94FA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24877"/>
    <w:multiLevelType w:val="multilevel"/>
    <w:tmpl w:val="76C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A3850"/>
    <w:multiLevelType w:val="multilevel"/>
    <w:tmpl w:val="48E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02495"/>
    <w:multiLevelType w:val="multilevel"/>
    <w:tmpl w:val="1DC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019FB"/>
    <w:multiLevelType w:val="multilevel"/>
    <w:tmpl w:val="D6F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287131">
    <w:abstractNumId w:val="8"/>
  </w:num>
  <w:num w:numId="2" w16cid:durableId="1141847635">
    <w:abstractNumId w:val="6"/>
  </w:num>
  <w:num w:numId="3" w16cid:durableId="476534304">
    <w:abstractNumId w:val="5"/>
  </w:num>
  <w:num w:numId="4" w16cid:durableId="2133354764">
    <w:abstractNumId w:val="4"/>
  </w:num>
  <w:num w:numId="5" w16cid:durableId="1654336937">
    <w:abstractNumId w:val="7"/>
  </w:num>
  <w:num w:numId="6" w16cid:durableId="1919754438">
    <w:abstractNumId w:val="3"/>
  </w:num>
  <w:num w:numId="7" w16cid:durableId="57436939">
    <w:abstractNumId w:val="2"/>
  </w:num>
  <w:num w:numId="8" w16cid:durableId="1687557187">
    <w:abstractNumId w:val="1"/>
  </w:num>
  <w:num w:numId="9" w16cid:durableId="982663477">
    <w:abstractNumId w:val="0"/>
  </w:num>
  <w:num w:numId="10" w16cid:durableId="143352733">
    <w:abstractNumId w:val="13"/>
  </w:num>
  <w:num w:numId="11" w16cid:durableId="1121269605">
    <w:abstractNumId w:val="12"/>
  </w:num>
  <w:num w:numId="12" w16cid:durableId="1887794257">
    <w:abstractNumId w:val="14"/>
  </w:num>
  <w:num w:numId="13" w16cid:durableId="1867979911">
    <w:abstractNumId w:val="11"/>
  </w:num>
  <w:num w:numId="14" w16cid:durableId="1066490698">
    <w:abstractNumId w:val="10"/>
  </w:num>
  <w:num w:numId="15" w16cid:durableId="779758199">
    <w:abstractNumId w:val="15"/>
  </w:num>
  <w:num w:numId="16" w16cid:durableId="1419476817">
    <w:abstractNumId w:val="16"/>
  </w:num>
  <w:num w:numId="17" w16cid:durableId="739445922">
    <w:abstractNumId w:val="9"/>
  </w:num>
  <w:num w:numId="18" w16cid:durableId="650791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224"/>
    <w:rsid w:val="00762060"/>
    <w:rsid w:val="00AA1D8D"/>
    <w:rsid w:val="00B47730"/>
    <w:rsid w:val="00CB0664"/>
    <w:rsid w:val="00CD6F65"/>
    <w:rsid w:val="00ED1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89F92"/>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32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13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490</Words>
  <Characters>3601</Characters>
  <Application>Microsoft Office Word</Application>
  <DocSecurity>0</DocSecurity>
  <Lines>80</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2026-02-01T19:42:00Z</dcterms:modified>
  <cp:category/>
</cp:coreProperties>
</file>