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2AC04" w14:textId="77777777" w:rsidR="005846B5" w:rsidRDefault="00000000">
      <w:pPr>
        <w:pStyle w:val="Heading1"/>
      </w:pPr>
      <w:r>
        <w:t>Third-Party &amp; Vendor Risk Management</w:t>
      </w:r>
    </w:p>
    <w:p w14:paraId="713F4DC7" w14:textId="77777777" w:rsidR="001D22D7" w:rsidRDefault="00000000">
      <w:r>
        <w:t xml:space="preserve">Third-Party &amp; Vendor Risk Management establishes disciplined oversight to manage vendor onboarding, due diligence, monitoring, and exit governance across the vendor lifecycle with clear accountability, consistent controls, and defensible documentation. As technology complexity grows, unmanaged decisions in this area can create operational instability, control failures, and regulatory exposure. </w:t>
      </w:r>
    </w:p>
    <w:p w14:paraId="258E17FB" w14:textId="68005EBC" w:rsidR="005846B5" w:rsidRDefault="00000000">
      <w:r>
        <w:t>Quantum delivers governance-first, control-driven advisory grounded in Clarity, Consistency, Compliance, Communication, Control, and Comprehensiveness, translating framework expectations into practical operating discipline. The outcome is improved reliability, audit defensibility, and scalable governance aligned to enterprise needs.</w:t>
      </w:r>
    </w:p>
    <w:p w14:paraId="573ABBB1" w14:textId="7EC4DFD9" w:rsidR="005846B5" w:rsidRPr="001D22D7" w:rsidRDefault="001D22D7" w:rsidP="001D22D7">
      <w:pPr>
        <w:pStyle w:val="Heading2"/>
      </w:pPr>
      <w:r>
        <w:t>Scope &amp; Objectives Definition</w:t>
      </w:r>
    </w:p>
    <w:p w14:paraId="033F6865" w14:textId="77777777" w:rsidR="005846B5" w:rsidRDefault="00000000">
      <w:r>
        <w:t>Purpose</w:t>
      </w:r>
    </w:p>
    <w:p w14:paraId="32949E2B" w14:textId="77777777" w:rsidR="005846B5" w:rsidRDefault="00000000">
      <w:pPr>
        <w:pStyle w:val="ListBullet"/>
      </w:pPr>
      <w:r>
        <w:t>Understand the service area scope, dependencies, and decision points</w:t>
      </w:r>
    </w:p>
    <w:p w14:paraId="0A84A94D" w14:textId="77777777" w:rsidR="005846B5" w:rsidRDefault="00000000">
      <w:pPr>
        <w:pStyle w:val="ListBullet"/>
      </w:pPr>
      <w:r>
        <w:t>Identify critical risks, compliance needs, and stakeholder expectations</w:t>
      </w:r>
    </w:p>
    <w:p w14:paraId="1E5F92A4" w14:textId="77777777" w:rsidR="005846B5" w:rsidRDefault="00000000">
      <w:pPr>
        <w:pStyle w:val="ListBullet"/>
      </w:pPr>
      <w:r>
        <w:t>Define objectives, boundaries, and accountability requirements</w:t>
      </w:r>
    </w:p>
    <w:p w14:paraId="538962BC" w14:textId="77777777" w:rsidR="005846B5" w:rsidRDefault="00000000">
      <w:r>
        <w:t>Why It Matters</w:t>
      </w:r>
    </w:p>
    <w:p w14:paraId="589DB93C" w14:textId="77777777" w:rsidR="005846B5" w:rsidRDefault="00000000">
      <w:pPr>
        <w:pStyle w:val="ListBullet"/>
      </w:pPr>
      <w:r>
        <w:t>Creates clarity on what must be governed and why</w:t>
      </w:r>
    </w:p>
    <w:p w14:paraId="35D82510" w14:textId="77777777" w:rsidR="005846B5" w:rsidRDefault="00000000">
      <w:pPr>
        <w:pStyle w:val="ListBullet"/>
      </w:pPr>
      <w:r>
        <w:t>Prevents fragmented oversight and inconsistent decisions</w:t>
      </w:r>
    </w:p>
    <w:p w14:paraId="4012B0BA" w14:textId="77777777" w:rsidR="005846B5" w:rsidRDefault="00000000">
      <w:pPr>
        <w:pStyle w:val="ListBullet"/>
      </w:pPr>
      <w:r>
        <w:t>Improves control over risk from the start</w:t>
      </w:r>
    </w:p>
    <w:p w14:paraId="2812A836" w14:textId="77777777" w:rsidR="005846B5" w:rsidRDefault="00000000">
      <w:pPr>
        <w:pStyle w:val="Heading2"/>
      </w:pPr>
      <w:r>
        <w:t>Current-State Assessment &amp; Gap Analysis</w:t>
      </w:r>
    </w:p>
    <w:p w14:paraId="6ECBF4E2" w14:textId="77777777" w:rsidR="005846B5" w:rsidRDefault="00000000">
      <w:r>
        <w:t>Purpose</w:t>
      </w:r>
    </w:p>
    <w:p w14:paraId="217E7711" w14:textId="77777777" w:rsidR="005846B5" w:rsidRDefault="00000000">
      <w:pPr>
        <w:pStyle w:val="ListBullet"/>
      </w:pPr>
      <w:r>
        <w:t>Assess current practices, documentation, and control effectiveness</w:t>
      </w:r>
    </w:p>
    <w:p w14:paraId="0BAA8F7C" w14:textId="77777777" w:rsidR="005846B5" w:rsidRDefault="00000000">
      <w:pPr>
        <w:pStyle w:val="ListBullet"/>
      </w:pPr>
      <w:r>
        <w:t>Identify gaps, overlaps, and unmanaged risks</w:t>
      </w:r>
    </w:p>
    <w:p w14:paraId="294F4664" w14:textId="77777777" w:rsidR="005846B5" w:rsidRDefault="00000000">
      <w:pPr>
        <w:pStyle w:val="ListBullet"/>
      </w:pPr>
      <w:r>
        <w:t>Prioritize remediation based on impact and feasibility</w:t>
      </w:r>
    </w:p>
    <w:p w14:paraId="614C2299" w14:textId="77777777" w:rsidR="005846B5" w:rsidRDefault="00000000">
      <w:r>
        <w:t>Why It Matters</w:t>
      </w:r>
    </w:p>
    <w:p w14:paraId="40D8313B" w14:textId="77777777" w:rsidR="005846B5" w:rsidRDefault="00000000">
      <w:pPr>
        <w:pStyle w:val="ListBullet"/>
      </w:pPr>
      <w:r>
        <w:t>Reduces exposure caused by undocumented or inconsistent practices</w:t>
      </w:r>
    </w:p>
    <w:p w14:paraId="40E5829E" w14:textId="77777777" w:rsidR="005846B5" w:rsidRDefault="00000000">
      <w:pPr>
        <w:pStyle w:val="ListBullet"/>
      </w:pPr>
      <w:r>
        <w:t>Improves audit defensibility through clearer evidence and ownership</w:t>
      </w:r>
    </w:p>
    <w:p w14:paraId="3FD0CD9A" w14:textId="77777777" w:rsidR="005846B5" w:rsidRDefault="00000000">
      <w:pPr>
        <w:pStyle w:val="ListBullet"/>
      </w:pPr>
      <w:r>
        <w:t>Creates a fact-based baseline for improvement</w:t>
      </w:r>
    </w:p>
    <w:p w14:paraId="486C5D7E" w14:textId="77777777" w:rsidR="005846B5" w:rsidRDefault="00000000">
      <w:pPr>
        <w:pStyle w:val="Heading2"/>
      </w:pPr>
      <w:r>
        <w:t>Governance Design &amp; Control Standards</w:t>
      </w:r>
    </w:p>
    <w:p w14:paraId="004B8EBB" w14:textId="77777777" w:rsidR="005846B5" w:rsidRDefault="00000000">
      <w:r>
        <w:t>Purpose</w:t>
      </w:r>
    </w:p>
    <w:p w14:paraId="6DAF5B3F" w14:textId="77777777" w:rsidR="005846B5" w:rsidRDefault="00000000">
      <w:pPr>
        <w:pStyle w:val="ListBullet"/>
      </w:pPr>
      <w:r>
        <w:t>Define roles, decision rights, escalation paths, and oversight routines</w:t>
      </w:r>
    </w:p>
    <w:p w14:paraId="7B4C6C62" w14:textId="77777777" w:rsidR="005846B5" w:rsidRDefault="00000000">
      <w:pPr>
        <w:pStyle w:val="ListBullet"/>
      </w:pPr>
      <w:r>
        <w:t>Establish practical control standards and documentation expectations</w:t>
      </w:r>
    </w:p>
    <w:p w14:paraId="3DE6D46D" w14:textId="77777777" w:rsidR="005846B5" w:rsidRDefault="00000000">
      <w:pPr>
        <w:pStyle w:val="ListBullet"/>
      </w:pPr>
      <w:r>
        <w:t>Align governance to operating reality and scalability needs</w:t>
      </w:r>
    </w:p>
    <w:p w14:paraId="5B7037EE" w14:textId="77777777" w:rsidR="005846B5" w:rsidRDefault="00000000">
      <w:r>
        <w:lastRenderedPageBreak/>
        <w:t>Why It Matters</w:t>
      </w:r>
    </w:p>
    <w:p w14:paraId="7B1E9999" w14:textId="77777777" w:rsidR="005846B5" w:rsidRDefault="00000000">
      <w:pPr>
        <w:pStyle w:val="ListBullet"/>
      </w:pPr>
      <w:r>
        <w:t>Improves operational control and accountability</w:t>
      </w:r>
    </w:p>
    <w:p w14:paraId="5FF77140" w14:textId="77777777" w:rsidR="005846B5" w:rsidRDefault="00000000">
      <w:pPr>
        <w:pStyle w:val="ListBullet"/>
      </w:pPr>
      <w:r>
        <w:t>Strengthens predictability and consistency across teams and vendors</w:t>
      </w:r>
    </w:p>
    <w:p w14:paraId="32C08908" w14:textId="77777777" w:rsidR="005846B5" w:rsidRDefault="00000000">
      <w:pPr>
        <w:pStyle w:val="ListBullet"/>
      </w:pPr>
      <w:r>
        <w:t>Supports scalable governance as complexity increases</w:t>
      </w:r>
    </w:p>
    <w:p w14:paraId="1F55B726" w14:textId="77777777" w:rsidR="005846B5" w:rsidRDefault="00000000">
      <w:r>
        <w:t>Optional Framework Reference</w:t>
      </w:r>
    </w:p>
    <w:p w14:paraId="1E600610" w14:textId="77777777" w:rsidR="001D22D7" w:rsidRDefault="00000000">
      <w:pPr>
        <w:pStyle w:val="ListBullet"/>
      </w:pPr>
      <w:r>
        <w:t>NIST supply chain risk principles and ISO/IEC 27036-aligned governance to reinforce third-party accountability</w:t>
      </w:r>
    </w:p>
    <w:p w14:paraId="18EC67A8" w14:textId="77777777" w:rsidR="005846B5" w:rsidRDefault="00000000">
      <w:pPr>
        <w:pStyle w:val="Heading2"/>
      </w:pPr>
      <w:r>
        <w:t>Operating Discipline &amp; Monitoring</w:t>
      </w:r>
    </w:p>
    <w:p w14:paraId="40515459" w14:textId="77777777" w:rsidR="005846B5" w:rsidRDefault="00000000">
      <w:r>
        <w:t>Purpose</w:t>
      </w:r>
    </w:p>
    <w:p w14:paraId="0B1DBCA4" w14:textId="77777777" w:rsidR="005846B5" w:rsidRDefault="00000000">
      <w:pPr>
        <w:pStyle w:val="ListBullet"/>
      </w:pPr>
      <w:r>
        <w:t>Define repeatable workflows for approvals, changes, and exceptions</w:t>
      </w:r>
    </w:p>
    <w:p w14:paraId="0EDA9F0C" w14:textId="77777777" w:rsidR="005846B5" w:rsidRDefault="00000000">
      <w:pPr>
        <w:pStyle w:val="ListBullet"/>
      </w:pPr>
      <w:r>
        <w:t>Establish monitoring metrics and reporting cadence</w:t>
      </w:r>
    </w:p>
    <w:p w14:paraId="74143D10" w14:textId="77777777" w:rsidR="005846B5" w:rsidRDefault="00000000">
      <w:pPr>
        <w:pStyle w:val="ListBullet"/>
      </w:pPr>
      <w:r>
        <w:t>Create a controlled mechanism for continuous refinement</w:t>
      </w:r>
    </w:p>
    <w:p w14:paraId="4777875F" w14:textId="77777777" w:rsidR="005846B5" w:rsidRDefault="00000000">
      <w:r>
        <w:t>Why It Matters</w:t>
      </w:r>
    </w:p>
    <w:p w14:paraId="4F912B64" w14:textId="77777777" w:rsidR="005846B5" w:rsidRDefault="00000000">
      <w:pPr>
        <w:pStyle w:val="ListBullet"/>
      </w:pPr>
      <w:r>
        <w:t>Prevents governance drift and control decay over time</w:t>
      </w:r>
    </w:p>
    <w:p w14:paraId="0F3A7A0A" w14:textId="77777777" w:rsidR="005846B5" w:rsidRDefault="00000000">
      <w:pPr>
        <w:pStyle w:val="ListBullet"/>
      </w:pPr>
      <w:r>
        <w:t>Improves reliability and reduces disruption risk</w:t>
      </w:r>
    </w:p>
    <w:p w14:paraId="51689BE3" w14:textId="77777777" w:rsidR="005846B5" w:rsidRDefault="00000000">
      <w:pPr>
        <w:pStyle w:val="ListBullet"/>
      </w:pPr>
      <w:r>
        <w:t>Creates measurable oversight for stakeholder confidence</w:t>
      </w:r>
    </w:p>
    <w:sectPr w:rsidR="005846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E4B75"/>
    <w:multiLevelType w:val="hybridMultilevel"/>
    <w:tmpl w:val="0B144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6065023">
    <w:abstractNumId w:val="8"/>
  </w:num>
  <w:num w:numId="2" w16cid:durableId="767506579">
    <w:abstractNumId w:val="6"/>
  </w:num>
  <w:num w:numId="3" w16cid:durableId="1104688791">
    <w:abstractNumId w:val="5"/>
  </w:num>
  <w:num w:numId="4" w16cid:durableId="345132580">
    <w:abstractNumId w:val="4"/>
  </w:num>
  <w:num w:numId="5" w16cid:durableId="1944921780">
    <w:abstractNumId w:val="7"/>
  </w:num>
  <w:num w:numId="6" w16cid:durableId="1346395042">
    <w:abstractNumId w:val="3"/>
  </w:num>
  <w:num w:numId="7" w16cid:durableId="15886628">
    <w:abstractNumId w:val="2"/>
  </w:num>
  <w:num w:numId="8" w16cid:durableId="100422736">
    <w:abstractNumId w:val="1"/>
  </w:num>
  <w:num w:numId="9" w16cid:durableId="1885020042">
    <w:abstractNumId w:val="0"/>
  </w:num>
  <w:num w:numId="10" w16cid:durableId="10067090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2D7"/>
    <w:rsid w:val="0029639D"/>
    <w:rsid w:val="00326F90"/>
    <w:rsid w:val="005846B5"/>
    <w:rsid w:val="00AA1D8D"/>
    <w:rsid w:val="00B47730"/>
    <w:rsid w:val="00CB0664"/>
    <w:rsid w:val="00CD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6FEBB"/>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306</Words>
  <Characters>2240</Characters>
  <Application>Microsoft Office Word</Application>
  <DocSecurity>0</DocSecurity>
  <Lines>48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2026-02-01T16:23:00Z</dcterms:modified>
  <cp:category/>
</cp:coreProperties>
</file>