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80965" w14:textId="77777777" w:rsidR="004202ED" w:rsidRDefault="004202ED" w:rsidP="004202ED">
      <w:pPr>
        <w:pStyle w:val="Heading2"/>
        <w:rPr>
          <w:color w:val="000000"/>
        </w:rPr>
      </w:pPr>
      <w:r>
        <w:rPr>
          <w:color w:val="000000"/>
        </w:rPr>
        <w:t>System Implementation Quality Testing Assurance</w:t>
      </w:r>
    </w:p>
    <w:p w14:paraId="51DD553C" w14:textId="77777777" w:rsidR="004202ED" w:rsidRDefault="004202ED" w:rsidP="004202ED">
      <w:pPr>
        <w:pStyle w:val="Heading3"/>
        <w:rPr>
          <w:color w:val="000000"/>
        </w:rPr>
      </w:pPr>
      <w:r>
        <w:rPr>
          <w:color w:val="000000"/>
        </w:rPr>
        <w:t>Service Summary (3–5 Sentences)</w:t>
      </w:r>
    </w:p>
    <w:p w14:paraId="331BCE11" w14:textId="77777777" w:rsidR="004202ED" w:rsidRDefault="004202ED" w:rsidP="004202ED">
      <w:pPr>
        <w:pStyle w:val="NormalWeb"/>
        <w:rPr>
          <w:color w:val="000000"/>
        </w:rPr>
      </w:pPr>
      <w:r>
        <w:rPr>
          <w:color w:val="000000"/>
        </w:rPr>
        <w:t>System Implementation Quality Testing Assurance provides disciplined, independent oversight to validate that a new system will perform as intended before go-live—financially, operationally, and from a control standpoint. Testing must align to the delivery method and the real risk profile; Quantum tailors the testing strategy to the implementation approach and scope, supporting</w:t>
      </w:r>
      <w:r>
        <w:rPr>
          <w:rStyle w:val="apple-converted-space"/>
          <w:color w:val="000000"/>
        </w:rPr>
        <w:t> </w:t>
      </w:r>
      <w:r>
        <w:rPr>
          <w:rStyle w:val="Strong"/>
          <w:rFonts w:eastAsiaTheme="majorEastAsia"/>
          <w:color w:val="000000"/>
        </w:rPr>
        <w:t>Functional Testing, System Integration Testing (SIT), User Acceptance Testing (UAT), Data Migration Testing, Smoke Testing</w:t>
      </w:r>
      <w:r>
        <w:rPr>
          <w:color w:val="000000"/>
        </w:rPr>
        <w:t>, and other fit-for-purpose test cycles. Quantum delivers a governance-first, control-driven approach grounded in</w:t>
      </w:r>
      <w:r>
        <w:rPr>
          <w:rStyle w:val="apple-converted-space"/>
          <w:color w:val="000000"/>
        </w:rPr>
        <w:t> </w:t>
      </w:r>
      <w:r>
        <w:rPr>
          <w:rStyle w:val="Strong"/>
          <w:rFonts w:eastAsiaTheme="majorEastAsia"/>
          <w:color w:val="000000"/>
        </w:rPr>
        <w:t>Clarity, Consistency, Compliance, Communication, Control, and Comprehensiveness</w:t>
      </w:r>
      <w:r>
        <w:rPr>
          <w:color w:val="000000"/>
        </w:rPr>
        <w:t>, ensuring testing is traceable, documented, and decision-ready. The outcome is reliable go-live confidence through clear entry/exit criteria, structured evidence, defect governance, and defensible sign-off aligned to project expectations.</w:t>
      </w:r>
    </w:p>
    <w:p w14:paraId="4CBD31E6" w14:textId="77777777" w:rsidR="004202ED" w:rsidRDefault="008751C5" w:rsidP="004202ED">
      <w:r>
        <w:rPr>
          <w:noProof/>
        </w:rPr>
        <w:pict w14:anchorId="3FC426D6">
          <v:rect id="_x0000_i1032" alt="" style="width:431.95pt;height:.05pt;mso-width-percent:0;mso-height-percent:0;mso-width-percent:0;mso-height-percent:0" o:hrpct="923" o:hralign="center" o:hrstd="t" o:hr="t" fillcolor="#a0a0a0" stroked="f"/>
        </w:pict>
      </w:r>
    </w:p>
    <w:p w14:paraId="11302896" w14:textId="77777777" w:rsidR="004202ED" w:rsidRDefault="004202ED" w:rsidP="004202ED">
      <w:pPr>
        <w:pStyle w:val="Heading3"/>
        <w:rPr>
          <w:color w:val="000000"/>
        </w:rPr>
      </w:pPr>
      <w:r>
        <w:rPr>
          <w:color w:val="000000"/>
        </w:rPr>
        <w:t>Service Cards (Website Tiles)</w:t>
      </w:r>
    </w:p>
    <w:p w14:paraId="7F91C8C5" w14:textId="77777777" w:rsidR="004202ED" w:rsidRDefault="004202ED" w:rsidP="004202ED">
      <w:pPr>
        <w:pStyle w:val="Heading4"/>
        <w:rPr>
          <w:color w:val="000000"/>
        </w:rPr>
      </w:pPr>
      <w:r>
        <w:rPr>
          <w:color w:val="000000"/>
        </w:rPr>
        <w:t>Card 1: Implementation Landscape &amp; Methodology Alignment</w:t>
      </w:r>
    </w:p>
    <w:p w14:paraId="16D03C4F" w14:textId="77777777" w:rsidR="004202ED" w:rsidRDefault="004202ED" w:rsidP="004202ED">
      <w:pPr>
        <w:pStyle w:val="NormalWeb"/>
        <w:rPr>
          <w:color w:val="000000"/>
        </w:rPr>
      </w:pPr>
      <w:r>
        <w:rPr>
          <w:color w:val="000000"/>
        </w:rPr>
        <w:t>This step clarifies where independent testing assurance adds value within the delivery lifecycle, including what decisions require evidence-based checkpoints. It also sets the operating rhythm for how testing assurance will interface with project governance meetings, reporting, and change control.</w:t>
      </w:r>
      <w:r>
        <w:rPr>
          <w:color w:val="000000"/>
        </w:rPr>
        <w:br/>
      </w:r>
      <w:r>
        <w:rPr>
          <w:rStyle w:val="Strong"/>
          <w:rFonts w:eastAsiaTheme="majorEastAsia"/>
          <w:color w:val="000000"/>
        </w:rPr>
        <w:t>Purpose</w:t>
      </w:r>
    </w:p>
    <w:p w14:paraId="4DA65739" w14:textId="77777777" w:rsidR="004202ED" w:rsidRDefault="004202ED" w:rsidP="004202ED">
      <w:pPr>
        <w:pStyle w:val="NormalWeb"/>
        <w:numPr>
          <w:ilvl w:val="0"/>
          <w:numId w:val="28"/>
        </w:numPr>
        <w:rPr>
          <w:color w:val="000000"/>
        </w:rPr>
      </w:pPr>
      <w:r>
        <w:rPr>
          <w:color w:val="000000"/>
        </w:rPr>
        <w:t>Understand the implementation approach (waterfall, agile, hybrid) and where testing fits in the plan</w:t>
      </w:r>
    </w:p>
    <w:p w14:paraId="016D0C37" w14:textId="77777777" w:rsidR="004202ED" w:rsidRDefault="004202ED" w:rsidP="004202ED">
      <w:pPr>
        <w:pStyle w:val="NormalWeb"/>
        <w:numPr>
          <w:ilvl w:val="0"/>
          <w:numId w:val="28"/>
        </w:numPr>
        <w:rPr>
          <w:color w:val="000000"/>
        </w:rPr>
      </w:pPr>
      <w:r>
        <w:rPr>
          <w:color w:val="000000"/>
        </w:rPr>
        <w:t>Confirm the intended test cycles (e.g., Functional, SIT, UAT, Data Migration, Smoke) based on scope and risk</w:t>
      </w:r>
    </w:p>
    <w:p w14:paraId="4F7A39AD" w14:textId="77777777" w:rsidR="004202ED" w:rsidRDefault="004202ED" w:rsidP="004202ED">
      <w:pPr>
        <w:pStyle w:val="NormalWeb"/>
        <w:numPr>
          <w:ilvl w:val="0"/>
          <w:numId w:val="28"/>
        </w:numPr>
        <w:rPr>
          <w:color w:val="000000"/>
        </w:rPr>
      </w:pPr>
      <w:r>
        <w:rPr>
          <w:color w:val="000000"/>
        </w:rPr>
        <w:t>Clarify stakeholders, decision rights, and governance checkpoints for test outcomes</w:t>
      </w:r>
    </w:p>
    <w:p w14:paraId="1F037552" w14:textId="77777777" w:rsidR="004202ED" w:rsidRDefault="004202ED" w:rsidP="004202ED">
      <w:pPr>
        <w:pStyle w:val="NormalWeb"/>
        <w:rPr>
          <w:color w:val="000000"/>
        </w:rPr>
      </w:pPr>
      <w:r>
        <w:rPr>
          <w:rStyle w:val="Strong"/>
          <w:rFonts w:eastAsiaTheme="majorEastAsia"/>
          <w:color w:val="000000"/>
        </w:rPr>
        <w:t>Why It Matters</w:t>
      </w:r>
    </w:p>
    <w:p w14:paraId="62B89710" w14:textId="77777777" w:rsidR="004202ED" w:rsidRDefault="004202ED" w:rsidP="004202ED">
      <w:pPr>
        <w:pStyle w:val="NormalWeb"/>
        <w:numPr>
          <w:ilvl w:val="0"/>
          <w:numId w:val="29"/>
        </w:numPr>
        <w:rPr>
          <w:color w:val="000000"/>
        </w:rPr>
      </w:pPr>
      <w:r>
        <w:rPr>
          <w:color w:val="000000"/>
        </w:rPr>
        <w:t>Prevents misalignment between delivery cadence and testing expectations</w:t>
      </w:r>
    </w:p>
    <w:p w14:paraId="5E883D91" w14:textId="77777777" w:rsidR="004202ED" w:rsidRDefault="004202ED" w:rsidP="004202ED">
      <w:pPr>
        <w:pStyle w:val="NormalWeb"/>
        <w:numPr>
          <w:ilvl w:val="0"/>
          <w:numId w:val="29"/>
        </w:numPr>
        <w:rPr>
          <w:color w:val="000000"/>
        </w:rPr>
      </w:pPr>
      <w:r>
        <w:rPr>
          <w:color w:val="000000"/>
        </w:rPr>
        <w:t>Improves predictability by clarifying how readiness will be measured and approved</w:t>
      </w:r>
    </w:p>
    <w:p w14:paraId="2BAECE13" w14:textId="77777777" w:rsidR="004202ED" w:rsidRDefault="004202ED" w:rsidP="004202ED">
      <w:pPr>
        <w:pStyle w:val="NormalWeb"/>
        <w:numPr>
          <w:ilvl w:val="0"/>
          <w:numId w:val="29"/>
        </w:numPr>
        <w:rPr>
          <w:color w:val="000000"/>
        </w:rPr>
      </w:pPr>
      <w:r>
        <w:rPr>
          <w:color w:val="000000"/>
        </w:rPr>
        <w:t>Reduces rework by aligning testing activities to the project plan and control needs</w:t>
      </w:r>
    </w:p>
    <w:p w14:paraId="6C24860B" w14:textId="77777777" w:rsidR="004202ED" w:rsidRDefault="008751C5" w:rsidP="004202ED">
      <w:r>
        <w:rPr>
          <w:noProof/>
        </w:rPr>
        <w:pict w14:anchorId="172B94CF">
          <v:rect id="_x0000_i1031" alt="" style="width:431.95pt;height:.05pt;mso-width-percent:0;mso-height-percent:0;mso-width-percent:0;mso-height-percent:0" o:hrpct="923" o:hralign="center" o:hrstd="t" o:hr="t" fillcolor="#a0a0a0" stroked="f"/>
        </w:pict>
      </w:r>
    </w:p>
    <w:p w14:paraId="5037375A" w14:textId="77777777" w:rsidR="004202ED" w:rsidRDefault="004202ED" w:rsidP="004202ED">
      <w:pPr>
        <w:pStyle w:val="Heading4"/>
        <w:rPr>
          <w:color w:val="000000"/>
        </w:rPr>
      </w:pPr>
      <w:r>
        <w:rPr>
          <w:color w:val="000000"/>
        </w:rPr>
        <w:lastRenderedPageBreak/>
        <w:t>Card 2: Scope, Requirements &amp; Acceptance Criteria Confirmation</w:t>
      </w:r>
    </w:p>
    <w:p w14:paraId="71534BFD" w14:textId="77777777" w:rsidR="004202ED" w:rsidRDefault="004202ED" w:rsidP="004202ED">
      <w:pPr>
        <w:pStyle w:val="NormalWeb"/>
        <w:rPr>
          <w:color w:val="000000"/>
        </w:rPr>
      </w:pPr>
      <w:r>
        <w:rPr>
          <w:color w:val="000000"/>
        </w:rPr>
        <w:t>This step translates “what is being built” into a measurable definition of success that can be governed, not debated late in the project. It also establishes the baseline for traceability so testing outcomes can be explained clearly under scrutiny.</w:t>
      </w:r>
      <w:r>
        <w:rPr>
          <w:color w:val="000000"/>
        </w:rPr>
        <w:br/>
      </w:r>
      <w:r>
        <w:rPr>
          <w:rStyle w:val="Strong"/>
          <w:rFonts w:eastAsiaTheme="majorEastAsia"/>
          <w:color w:val="000000"/>
        </w:rPr>
        <w:t>Purpose</w:t>
      </w:r>
    </w:p>
    <w:p w14:paraId="23971003" w14:textId="77777777" w:rsidR="004202ED" w:rsidRDefault="004202ED" w:rsidP="004202ED">
      <w:pPr>
        <w:pStyle w:val="NormalWeb"/>
        <w:numPr>
          <w:ilvl w:val="0"/>
          <w:numId w:val="30"/>
        </w:numPr>
        <w:rPr>
          <w:color w:val="000000"/>
        </w:rPr>
      </w:pPr>
      <w:r>
        <w:rPr>
          <w:color w:val="000000"/>
        </w:rPr>
        <w:t>Confirm scope tied to business requirements, EPICs/features, and critical workflows</w:t>
      </w:r>
    </w:p>
    <w:p w14:paraId="754E1A87" w14:textId="77777777" w:rsidR="004202ED" w:rsidRDefault="004202ED" w:rsidP="004202ED">
      <w:pPr>
        <w:pStyle w:val="NormalWeb"/>
        <w:numPr>
          <w:ilvl w:val="0"/>
          <w:numId w:val="30"/>
        </w:numPr>
        <w:rPr>
          <w:color w:val="000000"/>
        </w:rPr>
      </w:pPr>
      <w:r>
        <w:rPr>
          <w:color w:val="000000"/>
        </w:rPr>
        <w:t>Validate acceptance criteria, requirement traceability, and control expectations for each test cycle</w:t>
      </w:r>
    </w:p>
    <w:p w14:paraId="505CAC45" w14:textId="77777777" w:rsidR="004202ED" w:rsidRDefault="004202ED" w:rsidP="004202ED">
      <w:pPr>
        <w:pStyle w:val="NormalWeb"/>
        <w:numPr>
          <w:ilvl w:val="0"/>
          <w:numId w:val="30"/>
        </w:numPr>
        <w:rPr>
          <w:color w:val="000000"/>
        </w:rPr>
      </w:pPr>
      <w:r>
        <w:rPr>
          <w:color w:val="000000"/>
        </w:rPr>
        <w:t>Define entry and exit criteria that determine readiness (phase-level and go-live)</w:t>
      </w:r>
    </w:p>
    <w:p w14:paraId="0E49BD3E" w14:textId="77777777" w:rsidR="004202ED" w:rsidRDefault="004202ED" w:rsidP="004202ED">
      <w:pPr>
        <w:pStyle w:val="NormalWeb"/>
        <w:rPr>
          <w:color w:val="000000"/>
        </w:rPr>
      </w:pPr>
      <w:r>
        <w:rPr>
          <w:rStyle w:val="Strong"/>
          <w:rFonts w:eastAsiaTheme="majorEastAsia"/>
          <w:color w:val="000000"/>
        </w:rPr>
        <w:t>Why It Matters</w:t>
      </w:r>
    </w:p>
    <w:p w14:paraId="3DEDB5C3" w14:textId="77777777" w:rsidR="004202ED" w:rsidRDefault="004202ED" w:rsidP="004202ED">
      <w:pPr>
        <w:pStyle w:val="NormalWeb"/>
        <w:numPr>
          <w:ilvl w:val="0"/>
          <w:numId w:val="31"/>
        </w:numPr>
        <w:rPr>
          <w:color w:val="000000"/>
        </w:rPr>
      </w:pPr>
      <w:r>
        <w:rPr>
          <w:color w:val="000000"/>
        </w:rPr>
        <w:t>Ensures testing validates what matters to operations, reporting, and compliance</w:t>
      </w:r>
    </w:p>
    <w:p w14:paraId="6362C331" w14:textId="77777777" w:rsidR="004202ED" w:rsidRDefault="004202ED" w:rsidP="004202ED">
      <w:pPr>
        <w:pStyle w:val="NormalWeb"/>
        <w:numPr>
          <w:ilvl w:val="0"/>
          <w:numId w:val="31"/>
        </w:numPr>
        <w:rPr>
          <w:color w:val="000000"/>
        </w:rPr>
      </w:pPr>
      <w:r>
        <w:rPr>
          <w:color w:val="000000"/>
        </w:rPr>
        <w:t>Reduces go-live risk caused by unclear requirements or shifting success criteria</w:t>
      </w:r>
    </w:p>
    <w:p w14:paraId="5EE72855" w14:textId="77777777" w:rsidR="004202ED" w:rsidRDefault="004202ED" w:rsidP="004202ED">
      <w:pPr>
        <w:pStyle w:val="NormalWeb"/>
        <w:numPr>
          <w:ilvl w:val="0"/>
          <w:numId w:val="31"/>
        </w:numPr>
        <w:rPr>
          <w:color w:val="000000"/>
        </w:rPr>
      </w:pPr>
      <w:r>
        <w:rPr>
          <w:color w:val="000000"/>
        </w:rPr>
        <w:t>Strengthens audit defensibility through documented, traceable expectations</w:t>
      </w:r>
    </w:p>
    <w:p w14:paraId="6503368B" w14:textId="77777777" w:rsidR="004202ED" w:rsidRDefault="008751C5" w:rsidP="004202ED">
      <w:r>
        <w:rPr>
          <w:noProof/>
        </w:rPr>
        <w:pict w14:anchorId="4602C747">
          <v:rect id="_x0000_i1030" alt="" style="width:431.95pt;height:.05pt;mso-width-percent:0;mso-height-percent:0;mso-width-percent:0;mso-height-percent:0" o:hrpct="923" o:hralign="center" o:hrstd="t" o:hr="t" fillcolor="#a0a0a0" stroked="f"/>
        </w:pict>
      </w:r>
    </w:p>
    <w:p w14:paraId="47506164" w14:textId="77777777" w:rsidR="004202ED" w:rsidRDefault="004202ED" w:rsidP="004202ED">
      <w:pPr>
        <w:pStyle w:val="Heading4"/>
        <w:rPr>
          <w:color w:val="000000"/>
        </w:rPr>
      </w:pPr>
      <w:r>
        <w:rPr>
          <w:color w:val="000000"/>
        </w:rPr>
        <w:t>Card 3: Testing Governance Framework &amp; Control Standards</w:t>
      </w:r>
    </w:p>
    <w:p w14:paraId="71B50C92" w14:textId="77777777" w:rsidR="004202ED" w:rsidRDefault="004202ED" w:rsidP="004202ED">
      <w:pPr>
        <w:pStyle w:val="NormalWeb"/>
        <w:rPr>
          <w:color w:val="000000"/>
        </w:rPr>
      </w:pPr>
      <w:r>
        <w:rPr>
          <w:color w:val="000000"/>
        </w:rPr>
        <w:t>This step defines how testing decisions are governed, including what evidence is required to support approvals and how exceptions are handled consistently. It establishes a practical control model so testing outcomes remain comparable across phases and releases.</w:t>
      </w:r>
      <w:r>
        <w:rPr>
          <w:color w:val="000000"/>
        </w:rPr>
        <w:br/>
      </w:r>
      <w:r>
        <w:rPr>
          <w:rStyle w:val="Strong"/>
          <w:rFonts w:eastAsiaTheme="majorEastAsia"/>
          <w:color w:val="000000"/>
        </w:rPr>
        <w:t>Purpose</w:t>
      </w:r>
    </w:p>
    <w:p w14:paraId="49B035AC" w14:textId="77777777" w:rsidR="004202ED" w:rsidRDefault="004202ED" w:rsidP="004202ED">
      <w:pPr>
        <w:pStyle w:val="NormalWeb"/>
        <w:numPr>
          <w:ilvl w:val="0"/>
          <w:numId w:val="32"/>
        </w:numPr>
        <w:rPr>
          <w:color w:val="000000"/>
        </w:rPr>
      </w:pPr>
      <w:r>
        <w:rPr>
          <w:color w:val="000000"/>
        </w:rPr>
        <w:t>Establish testing governance: roles, approvals, escalation paths, and evidence standards</w:t>
      </w:r>
    </w:p>
    <w:p w14:paraId="0807F243" w14:textId="77777777" w:rsidR="004202ED" w:rsidRDefault="004202ED" w:rsidP="004202ED">
      <w:pPr>
        <w:pStyle w:val="NormalWeb"/>
        <w:numPr>
          <w:ilvl w:val="0"/>
          <w:numId w:val="32"/>
        </w:numPr>
        <w:rPr>
          <w:color w:val="000000"/>
        </w:rPr>
      </w:pPr>
      <w:r>
        <w:rPr>
          <w:color w:val="000000"/>
        </w:rPr>
        <w:t>Define phase governance for Functional, SIT, UAT, Data Migration, and Smoke testing as applicable</w:t>
      </w:r>
    </w:p>
    <w:p w14:paraId="33E5A199" w14:textId="77777777" w:rsidR="004202ED" w:rsidRDefault="004202ED" w:rsidP="004202ED">
      <w:pPr>
        <w:pStyle w:val="NormalWeb"/>
        <w:numPr>
          <w:ilvl w:val="0"/>
          <w:numId w:val="32"/>
        </w:numPr>
        <w:rPr>
          <w:color w:val="000000"/>
        </w:rPr>
      </w:pPr>
      <w:r>
        <w:rPr>
          <w:color w:val="000000"/>
        </w:rPr>
        <w:t>Set documentation standards for results, exceptions, approvals, and sign-off decisions</w:t>
      </w:r>
    </w:p>
    <w:p w14:paraId="0B753956" w14:textId="77777777" w:rsidR="004202ED" w:rsidRDefault="004202ED" w:rsidP="004202ED">
      <w:pPr>
        <w:pStyle w:val="NormalWeb"/>
        <w:rPr>
          <w:color w:val="000000"/>
        </w:rPr>
      </w:pPr>
      <w:r>
        <w:rPr>
          <w:rStyle w:val="Strong"/>
          <w:rFonts w:eastAsiaTheme="majorEastAsia"/>
          <w:color w:val="000000"/>
        </w:rPr>
        <w:t>Why It Matters</w:t>
      </w:r>
    </w:p>
    <w:p w14:paraId="2B25480C" w14:textId="77777777" w:rsidR="004202ED" w:rsidRDefault="004202ED" w:rsidP="004202ED">
      <w:pPr>
        <w:pStyle w:val="NormalWeb"/>
        <w:numPr>
          <w:ilvl w:val="0"/>
          <w:numId w:val="33"/>
        </w:numPr>
        <w:rPr>
          <w:color w:val="000000"/>
        </w:rPr>
      </w:pPr>
      <w:r>
        <w:rPr>
          <w:color w:val="000000"/>
        </w:rPr>
        <w:t>Creates operational control over what “ready” means across test phases</w:t>
      </w:r>
    </w:p>
    <w:p w14:paraId="5049C9DA" w14:textId="77777777" w:rsidR="004202ED" w:rsidRDefault="004202ED" w:rsidP="004202ED">
      <w:pPr>
        <w:pStyle w:val="NormalWeb"/>
        <w:numPr>
          <w:ilvl w:val="0"/>
          <w:numId w:val="33"/>
        </w:numPr>
        <w:rPr>
          <w:color w:val="000000"/>
        </w:rPr>
      </w:pPr>
      <w:r>
        <w:rPr>
          <w:color w:val="000000"/>
        </w:rPr>
        <w:t>Prevents late-cycle debates by defining decision standards upfront</w:t>
      </w:r>
    </w:p>
    <w:p w14:paraId="39D193B3" w14:textId="77777777" w:rsidR="004202ED" w:rsidRDefault="004202ED" w:rsidP="004202ED">
      <w:pPr>
        <w:pStyle w:val="NormalWeb"/>
        <w:numPr>
          <w:ilvl w:val="0"/>
          <w:numId w:val="33"/>
        </w:numPr>
        <w:rPr>
          <w:color w:val="000000"/>
        </w:rPr>
      </w:pPr>
      <w:r>
        <w:rPr>
          <w:color w:val="000000"/>
        </w:rPr>
        <w:t>Produces defensible documentation under audit or stakeholder scrutiny</w:t>
      </w:r>
    </w:p>
    <w:p w14:paraId="381C1C42" w14:textId="77777777" w:rsidR="004202ED" w:rsidRDefault="004202ED" w:rsidP="004202ED">
      <w:pPr>
        <w:pStyle w:val="NormalWeb"/>
        <w:rPr>
          <w:color w:val="000000"/>
        </w:rPr>
      </w:pPr>
      <w:r>
        <w:rPr>
          <w:rStyle w:val="Strong"/>
          <w:rFonts w:eastAsiaTheme="majorEastAsia"/>
          <w:color w:val="000000"/>
        </w:rPr>
        <w:t>Optional Framework Reference</w:t>
      </w:r>
    </w:p>
    <w:p w14:paraId="2974EED6" w14:textId="77777777" w:rsidR="004202ED" w:rsidRDefault="004202ED" w:rsidP="004202ED">
      <w:pPr>
        <w:pStyle w:val="NormalWeb"/>
        <w:numPr>
          <w:ilvl w:val="0"/>
          <w:numId w:val="34"/>
        </w:numPr>
        <w:rPr>
          <w:color w:val="000000"/>
        </w:rPr>
      </w:pPr>
      <w:r>
        <w:rPr>
          <w:color w:val="000000"/>
        </w:rPr>
        <w:t>COBIT-aligned governance practices to reinforce accountability and decision rights in technology delivery</w:t>
      </w:r>
    </w:p>
    <w:p w14:paraId="05FB5FF0" w14:textId="77777777" w:rsidR="004202ED" w:rsidRDefault="008751C5" w:rsidP="004202ED">
      <w:r>
        <w:rPr>
          <w:noProof/>
        </w:rPr>
        <w:lastRenderedPageBreak/>
        <w:pict w14:anchorId="6118A71F">
          <v:rect id="_x0000_i1029" alt="" style="width:431.95pt;height:.05pt;mso-width-percent:0;mso-height-percent:0;mso-width-percent:0;mso-height-percent:0" o:hrpct="923" o:hralign="center" o:hrstd="t" o:hr="t" fillcolor="#a0a0a0" stroked="f"/>
        </w:pict>
      </w:r>
    </w:p>
    <w:p w14:paraId="179C25A6" w14:textId="77777777" w:rsidR="004202ED" w:rsidRDefault="004202ED" w:rsidP="004202ED">
      <w:pPr>
        <w:pStyle w:val="Heading4"/>
        <w:rPr>
          <w:color w:val="000000"/>
        </w:rPr>
      </w:pPr>
      <w:r>
        <w:rPr>
          <w:color w:val="000000"/>
        </w:rPr>
        <w:t>Card 4: Test Strategy, Scenarios &amp; Traceability Design</w:t>
      </w:r>
    </w:p>
    <w:p w14:paraId="5C5D1244" w14:textId="77777777" w:rsidR="004202ED" w:rsidRDefault="004202ED" w:rsidP="004202ED">
      <w:pPr>
        <w:pStyle w:val="NormalWeb"/>
        <w:rPr>
          <w:color w:val="000000"/>
        </w:rPr>
      </w:pPr>
      <w:r>
        <w:rPr>
          <w:color w:val="000000"/>
        </w:rPr>
        <w:t>This step ensures coverage is intentionally designed to reflect how the business actually operates, including end-to-end process dependencies and control outcomes. It also creates a traceability backbone so every test result can be linked to a requirement and explained without ambiguity.</w:t>
      </w:r>
      <w:r>
        <w:rPr>
          <w:color w:val="000000"/>
        </w:rPr>
        <w:br/>
      </w:r>
      <w:r>
        <w:rPr>
          <w:rStyle w:val="Strong"/>
          <w:rFonts w:eastAsiaTheme="majorEastAsia"/>
          <w:color w:val="000000"/>
        </w:rPr>
        <w:t>Purpose</w:t>
      </w:r>
    </w:p>
    <w:p w14:paraId="7992A70C" w14:textId="77777777" w:rsidR="004202ED" w:rsidRDefault="004202ED" w:rsidP="004202ED">
      <w:pPr>
        <w:pStyle w:val="NormalWeb"/>
        <w:numPr>
          <w:ilvl w:val="0"/>
          <w:numId w:val="35"/>
        </w:numPr>
        <w:rPr>
          <w:color w:val="000000"/>
        </w:rPr>
      </w:pPr>
      <w:r>
        <w:rPr>
          <w:color w:val="000000"/>
        </w:rPr>
        <w:t>Develop test scenarios mapped to requirements, controls, and real business workflows</w:t>
      </w:r>
    </w:p>
    <w:p w14:paraId="0A1F6A3A" w14:textId="77777777" w:rsidR="004202ED" w:rsidRDefault="004202ED" w:rsidP="004202ED">
      <w:pPr>
        <w:pStyle w:val="NormalWeb"/>
        <w:numPr>
          <w:ilvl w:val="0"/>
          <w:numId w:val="35"/>
        </w:numPr>
        <w:rPr>
          <w:color w:val="000000"/>
        </w:rPr>
      </w:pPr>
      <w:r>
        <w:rPr>
          <w:color w:val="000000"/>
        </w:rPr>
        <w:t>Tailor coverage by phase (Functional validates behavior, SIT validates end-to-end flows, UAT validates business acceptance, Data Migration validates completeness/accuracy, Smoke validates release stability)</w:t>
      </w:r>
    </w:p>
    <w:p w14:paraId="723AF814" w14:textId="77777777" w:rsidR="004202ED" w:rsidRDefault="004202ED" w:rsidP="004202ED">
      <w:pPr>
        <w:pStyle w:val="NormalWeb"/>
        <w:numPr>
          <w:ilvl w:val="0"/>
          <w:numId w:val="35"/>
        </w:numPr>
        <w:rPr>
          <w:color w:val="000000"/>
        </w:rPr>
      </w:pPr>
      <w:r>
        <w:rPr>
          <w:color w:val="000000"/>
        </w:rPr>
        <w:t>Obtain stakeholder approval of test scope, scenarios, and traceability expectations</w:t>
      </w:r>
    </w:p>
    <w:p w14:paraId="5B4BFC45" w14:textId="77777777" w:rsidR="004202ED" w:rsidRDefault="004202ED" w:rsidP="004202ED">
      <w:pPr>
        <w:pStyle w:val="NormalWeb"/>
        <w:rPr>
          <w:color w:val="000000"/>
        </w:rPr>
      </w:pPr>
      <w:r>
        <w:rPr>
          <w:rStyle w:val="Strong"/>
          <w:rFonts w:eastAsiaTheme="majorEastAsia"/>
          <w:color w:val="000000"/>
        </w:rPr>
        <w:t>Why It Matters</w:t>
      </w:r>
    </w:p>
    <w:p w14:paraId="0D19B737" w14:textId="77777777" w:rsidR="004202ED" w:rsidRDefault="004202ED" w:rsidP="004202ED">
      <w:pPr>
        <w:pStyle w:val="NormalWeb"/>
        <w:numPr>
          <w:ilvl w:val="0"/>
          <w:numId w:val="36"/>
        </w:numPr>
        <w:rPr>
          <w:color w:val="000000"/>
        </w:rPr>
      </w:pPr>
      <w:r>
        <w:rPr>
          <w:color w:val="000000"/>
        </w:rPr>
        <w:t>Improves confidence that the system supports intended outcomes end-to-end</w:t>
      </w:r>
    </w:p>
    <w:p w14:paraId="2E966BC9" w14:textId="77777777" w:rsidR="004202ED" w:rsidRDefault="004202ED" w:rsidP="004202ED">
      <w:pPr>
        <w:pStyle w:val="NormalWeb"/>
        <w:numPr>
          <w:ilvl w:val="0"/>
          <w:numId w:val="36"/>
        </w:numPr>
        <w:rPr>
          <w:color w:val="000000"/>
        </w:rPr>
      </w:pPr>
      <w:r>
        <w:rPr>
          <w:color w:val="000000"/>
        </w:rPr>
        <w:t>Reduces production incidents by validating high-impact scenarios before launch</w:t>
      </w:r>
    </w:p>
    <w:p w14:paraId="5BB1B757" w14:textId="77777777" w:rsidR="004202ED" w:rsidRDefault="004202ED" w:rsidP="004202ED">
      <w:pPr>
        <w:pStyle w:val="NormalWeb"/>
        <w:numPr>
          <w:ilvl w:val="0"/>
          <w:numId w:val="36"/>
        </w:numPr>
        <w:rPr>
          <w:color w:val="000000"/>
        </w:rPr>
      </w:pPr>
      <w:r>
        <w:rPr>
          <w:color w:val="000000"/>
        </w:rPr>
        <w:t>Strengthens defensibility by tying results to documented requirements and acceptance criteria</w:t>
      </w:r>
    </w:p>
    <w:p w14:paraId="4BD35CB9" w14:textId="77777777" w:rsidR="004202ED" w:rsidRDefault="008751C5" w:rsidP="004202ED">
      <w:r>
        <w:rPr>
          <w:noProof/>
        </w:rPr>
        <w:pict w14:anchorId="73A130B4">
          <v:rect id="_x0000_i1028" alt="" style="width:431.95pt;height:.05pt;mso-width-percent:0;mso-height-percent:0;mso-width-percent:0;mso-height-percent:0" o:hrpct="923" o:hralign="center" o:hrstd="t" o:hr="t" fillcolor="#a0a0a0" stroked="f"/>
        </w:pict>
      </w:r>
    </w:p>
    <w:p w14:paraId="0698F010" w14:textId="77777777" w:rsidR="004202ED" w:rsidRDefault="004202ED" w:rsidP="004202ED">
      <w:pPr>
        <w:pStyle w:val="Heading4"/>
        <w:rPr>
          <w:color w:val="000000"/>
        </w:rPr>
      </w:pPr>
      <w:r>
        <w:rPr>
          <w:color w:val="000000"/>
        </w:rPr>
        <w:t>Card 5: Test Execution Oversight &amp; Evidence Management</w:t>
      </w:r>
    </w:p>
    <w:p w14:paraId="343E5AE6" w14:textId="77777777" w:rsidR="004202ED" w:rsidRDefault="004202ED" w:rsidP="004202ED">
      <w:pPr>
        <w:pStyle w:val="NormalWeb"/>
        <w:rPr>
          <w:color w:val="000000"/>
        </w:rPr>
      </w:pPr>
      <w:r>
        <w:rPr>
          <w:color w:val="000000"/>
        </w:rPr>
        <w:t>This step enforces consistency in how testing is run and recorded so results are comparable and reviewable, not dependent on individual testers. It also ensures evidence is organized for rapid decision-making and future reference without reconstructing what happened.</w:t>
      </w:r>
      <w:r>
        <w:rPr>
          <w:color w:val="000000"/>
        </w:rPr>
        <w:br/>
      </w:r>
      <w:r>
        <w:rPr>
          <w:rStyle w:val="Strong"/>
          <w:rFonts w:eastAsiaTheme="majorEastAsia"/>
          <w:color w:val="000000"/>
        </w:rPr>
        <w:t>Purpose</w:t>
      </w:r>
    </w:p>
    <w:p w14:paraId="5731EF29" w14:textId="77777777" w:rsidR="004202ED" w:rsidRDefault="004202ED" w:rsidP="004202ED">
      <w:pPr>
        <w:pStyle w:val="NormalWeb"/>
        <w:numPr>
          <w:ilvl w:val="0"/>
          <w:numId w:val="37"/>
        </w:numPr>
        <w:rPr>
          <w:color w:val="000000"/>
        </w:rPr>
      </w:pPr>
      <w:r>
        <w:rPr>
          <w:color w:val="000000"/>
        </w:rPr>
        <w:t>Govern execution against entry criteria, planned scenarios, and approved coverage by test phase</w:t>
      </w:r>
    </w:p>
    <w:p w14:paraId="31B0EE48" w14:textId="77777777" w:rsidR="004202ED" w:rsidRDefault="004202ED" w:rsidP="004202ED">
      <w:pPr>
        <w:pStyle w:val="NormalWeb"/>
        <w:numPr>
          <w:ilvl w:val="0"/>
          <w:numId w:val="37"/>
        </w:numPr>
        <w:rPr>
          <w:color w:val="000000"/>
        </w:rPr>
      </w:pPr>
      <w:r>
        <w:rPr>
          <w:color w:val="000000"/>
        </w:rPr>
        <w:t>Capture test evidence in a consistent format that supports review, audit defensibility, and decision-making</w:t>
      </w:r>
    </w:p>
    <w:p w14:paraId="6BB219B1" w14:textId="77777777" w:rsidR="004202ED" w:rsidRDefault="004202ED" w:rsidP="004202ED">
      <w:pPr>
        <w:pStyle w:val="NormalWeb"/>
        <w:numPr>
          <w:ilvl w:val="0"/>
          <w:numId w:val="37"/>
        </w:numPr>
        <w:rPr>
          <w:color w:val="000000"/>
        </w:rPr>
      </w:pPr>
      <w:r>
        <w:rPr>
          <w:color w:val="000000"/>
        </w:rPr>
        <w:t>Validate retesting is performed when fixes impact Functional, SIT, UAT, Data Migration, or Smoke outcomes</w:t>
      </w:r>
    </w:p>
    <w:p w14:paraId="2A909DD4" w14:textId="77777777" w:rsidR="004202ED" w:rsidRDefault="004202ED" w:rsidP="004202ED">
      <w:pPr>
        <w:pStyle w:val="NormalWeb"/>
        <w:rPr>
          <w:color w:val="000000"/>
        </w:rPr>
      </w:pPr>
      <w:r>
        <w:rPr>
          <w:rStyle w:val="Strong"/>
          <w:rFonts w:eastAsiaTheme="majorEastAsia"/>
          <w:color w:val="000000"/>
        </w:rPr>
        <w:t>Why It Matters</w:t>
      </w:r>
    </w:p>
    <w:p w14:paraId="09039188" w14:textId="77777777" w:rsidR="004202ED" w:rsidRDefault="004202ED" w:rsidP="004202ED">
      <w:pPr>
        <w:pStyle w:val="NormalWeb"/>
        <w:numPr>
          <w:ilvl w:val="0"/>
          <w:numId w:val="38"/>
        </w:numPr>
        <w:rPr>
          <w:color w:val="000000"/>
        </w:rPr>
      </w:pPr>
      <w:r>
        <w:rPr>
          <w:color w:val="000000"/>
        </w:rPr>
        <w:t>Ensures results are reliable and decision-ready—not anecdotal</w:t>
      </w:r>
    </w:p>
    <w:p w14:paraId="68F2B4C4" w14:textId="77777777" w:rsidR="004202ED" w:rsidRDefault="004202ED" w:rsidP="004202ED">
      <w:pPr>
        <w:pStyle w:val="NormalWeb"/>
        <w:numPr>
          <w:ilvl w:val="0"/>
          <w:numId w:val="38"/>
        </w:numPr>
        <w:rPr>
          <w:color w:val="000000"/>
        </w:rPr>
      </w:pPr>
      <w:r>
        <w:rPr>
          <w:color w:val="000000"/>
        </w:rPr>
        <w:t>Prevents “testing theater” by enforcing evidence, repeatability, and transparency</w:t>
      </w:r>
    </w:p>
    <w:p w14:paraId="420DC368" w14:textId="77777777" w:rsidR="004202ED" w:rsidRDefault="004202ED" w:rsidP="004202ED">
      <w:pPr>
        <w:pStyle w:val="NormalWeb"/>
        <w:numPr>
          <w:ilvl w:val="0"/>
          <w:numId w:val="38"/>
        </w:numPr>
        <w:rPr>
          <w:color w:val="000000"/>
        </w:rPr>
      </w:pPr>
      <w:r>
        <w:rPr>
          <w:color w:val="000000"/>
        </w:rPr>
        <w:t>Improves readiness confidence by proving outcomes across test phases</w:t>
      </w:r>
    </w:p>
    <w:p w14:paraId="250E3E74" w14:textId="77777777" w:rsidR="004202ED" w:rsidRDefault="008751C5" w:rsidP="004202ED">
      <w:r>
        <w:rPr>
          <w:noProof/>
        </w:rPr>
        <w:lastRenderedPageBreak/>
        <w:pict w14:anchorId="5797D5CF">
          <v:rect id="_x0000_i1027" alt="" style="width:431.95pt;height:.05pt;mso-width-percent:0;mso-height-percent:0;mso-width-percent:0;mso-height-percent:0" o:hrpct="923" o:hralign="center" o:hrstd="t" o:hr="t" fillcolor="#a0a0a0" stroked="f"/>
        </w:pict>
      </w:r>
    </w:p>
    <w:p w14:paraId="2E7EC188" w14:textId="77777777" w:rsidR="004202ED" w:rsidRDefault="004202ED" w:rsidP="004202ED">
      <w:pPr>
        <w:pStyle w:val="Heading4"/>
        <w:rPr>
          <w:color w:val="000000"/>
        </w:rPr>
      </w:pPr>
      <w:r>
        <w:rPr>
          <w:color w:val="000000"/>
        </w:rPr>
        <w:t>Card 6: Defect Governance, Prioritization &amp; Resolution Control</w:t>
      </w:r>
    </w:p>
    <w:p w14:paraId="4FD34CA1" w14:textId="77777777" w:rsidR="004202ED" w:rsidRDefault="004202ED" w:rsidP="004202ED">
      <w:pPr>
        <w:pStyle w:val="NormalWeb"/>
        <w:rPr>
          <w:color w:val="000000"/>
        </w:rPr>
      </w:pPr>
      <w:r>
        <w:rPr>
          <w:color w:val="000000"/>
        </w:rPr>
        <w:t>This step provides a disciplined mechanism to convert test findings into controlled remediation, preventing ad hoc fixes and inconsistent closure decisions. It also ensures defects are assessed in the context of business impact and go-live readiness—not just technical severity.</w:t>
      </w:r>
      <w:r>
        <w:rPr>
          <w:color w:val="000000"/>
        </w:rPr>
        <w:br/>
      </w:r>
      <w:r>
        <w:rPr>
          <w:rStyle w:val="Strong"/>
          <w:rFonts w:eastAsiaTheme="majorEastAsia"/>
          <w:color w:val="000000"/>
        </w:rPr>
        <w:t>Purpose</w:t>
      </w:r>
    </w:p>
    <w:p w14:paraId="782FAE9A" w14:textId="77777777" w:rsidR="004202ED" w:rsidRDefault="004202ED" w:rsidP="004202ED">
      <w:pPr>
        <w:pStyle w:val="NormalWeb"/>
        <w:numPr>
          <w:ilvl w:val="0"/>
          <w:numId w:val="39"/>
        </w:numPr>
        <w:rPr>
          <w:color w:val="000000"/>
        </w:rPr>
      </w:pPr>
      <w:r>
        <w:rPr>
          <w:color w:val="000000"/>
        </w:rPr>
        <w:t>Establish defect standards: severity definitions, ownership, triage cadence, and escalation rules</w:t>
      </w:r>
    </w:p>
    <w:p w14:paraId="584A3C49" w14:textId="77777777" w:rsidR="004202ED" w:rsidRDefault="004202ED" w:rsidP="004202ED">
      <w:pPr>
        <w:pStyle w:val="NormalWeb"/>
        <w:numPr>
          <w:ilvl w:val="0"/>
          <w:numId w:val="39"/>
        </w:numPr>
        <w:rPr>
          <w:color w:val="000000"/>
        </w:rPr>
      </w:pPr>
      <w:r>
        <w:rPr>
          <w:color w:val="000000"/>
        </w:rPr>
        <w:t>Govern remediation prioritization and retest requirements aligned to the impacted test cycle</w:t>
      </w:r>
    </w:p>
    <w:p w14:paraId="32F79D67" w14:textId="77777777" w:rsidR="004202ED" w:rsidRDefault="004202ED" w:rsidP="004202ED">
      <w:pPr>
        <w:pStyle w:val="NormalWeb"/>
        <w:numPr>
          <w:ilvl w:val="0"/>
          <w:numId w:val="39"/>
        </w:numPr>
        <w:rPr>
          <w:color w:val="000000"/>
        </w:rPr>
      </w:pPr>
      <w:r>
        <w:rPr>
          <w:color w:val="000000"/>
        </w:rPr>
        <w:t>Validate closure decisions are documented and consistent with acceptance and exit criteria</w:t>
      </w:r>
    </w:p>
    <w:p w14:paraId="605E4CEF" w14:textId="77777777" w:rsidR="004202ED" w:rsidRDefault="004202ED" w:rsidP="004202ED">
      <w:pPr>
        <w:pStyle w:val="NormalWeb"/>
        <w:rPr>
          <w:color w:val="000000"/>
        </w:rPr>
      </w:pPr>
      <w:r>
        <w:rPr>
          <w:rStyle w:val="Strong"/>
          <w:rFonts w:eastAsiaTheme="majorEastAsia"/>
          <w:color w:val="000000"/>
        </w:rPr>
        <w:t>Why It Matters</w:t>
      </w:r>
    </w:p>
    <w:p w14:paraId="1CBA68D5" w14:textId="77777777" w:rsidR="004202ED" w:rsidRDefault="004202ED" w:rsidP="004202ED">
      <w:pPr>
        <w:pStyle w:val="NormalWeb"/>
        <w:numPr>
          <w:ilvl w:val="0"/>
          <w:numId w:val="40"/>
        </w:numPr>
        <w:rPr>
          <w:color w:val="000000"/>
        </w:rPr>
      </w:pPr>
      <w:r>
        <w:rPr>
          <w:color w:val="000000"/>
        </w:rPr>
        <w:t>Reduces disruption by ensuring critical issues are addressed before go-live</w:t>
      </w:r>
    </w:p>
    <w:p w14:paraId="36547E75" w14:textId="77777777" w:rsidR="004202ED" w:rsidRDefault="004202ED" w:rsidP="004202ED">
      <w:pPr>
        <w:pStyle w:val="NormalWeb"/>
        <w:numPr>
          <w:ilvl w:val="0"/>
          <w:numId w:val="40"/>
        </w:numPr>
        <w:rPr>
          <w:color w:val="000000"/>
        </w:rPr>
      </w:pPr>
      <w:r>
        <w:rPr>
          <w:color w:val="000000"/>
        </w:rPr>
        <w:t>Improves control over quality tradeoffs and accountability for decisions</w:t>
      </w:r>
    </w:p>
    <w:p w14:paraId="6284287E" w14:textId="77777777" w:rsidR="004202ED" w:rsidRDefault="004202ED" w:rsidP="004202ED">
      <w:pPr>
        <w:pStyle w:val="NormalWeb"/>
        <w:numPr>
          <w:ilvl w:val="0"/>
          <w:numId w:val="40"/>
        </w:numPr>
        <w:rPr>
          <w:color w:val="000000"/>
        </w:rPr>
      </w:pPr>
      <w:r>
        <w:rPr>
          <w:color w:val="000000"/>
        </w:rPr>
        <w:t>Strengthens audit defensibility with a clear exception and resolution trail</w:t>
      </w:r>
    </w:p>
    <w:p w14:paraId="03124963" w14:textId="77777777" w:rsidR="004202ED" w:rsidRDefault="008751C5" w:rsidP="004202ED">
      <w:r>
        <w:rPr>
          <w:noProof/>
        </w:rPr>
        <w:pict w14:anchorId="1DAF5F24">
          <v:rect id="_x0000_i1026" alt="" style="width:431.95pt;height:.05pt;mso-width-percent:0;mso-height-percent:0;mso-width-percent:0;mso-height-percent:0" o:hrpct="923" o:hralign="center" o:hrstd="t" o:hr="t" fillcolor="#a0a0a0" stroked="f"/>
        </w:pict>
      </w:r>
    </w:p>
    <w:p w14:paraId="6F9605BF" w14:textId="77777777" w:rsidR="004202ED" w:rsidRDefault="004202ED" w:rsidP="004202ED">
      <w:pPr>
        <w:pStyle w:val="Heading4"/>
        <w:rPr>
          <w:color w:val="000000"/>
        </w:rPr>
      </w:pPr>
      <w:r>
        <w:rPr>
          <w:color w:val="000000"/>
        </w:rPr>
        <w:t>Card 7: Readiness Sign-Off, Exit Criteria &amp; Go-Live Assurance</w:t>
      </w:r>
    </w:p>
    <w:p w14:paraId="696765B9" w14:textId="77777777" w:rsidR="004202ED" w:rsidRDefault="004202ED" w:rsidP="004202ED">
      <w:pPr>
        <w:pStyle w:val="NormalWeb"/>
        <w:rPr>
          <w:color w:val="000000"/>
        </w:rPr>
      </w:pPr>
      <w:r>
        <w:rPr>
          <w:color w:val="000000"/>
        </w:rPr>
        <w:t>This step consolidates evidence into a clear readiness position, including what is complete, what remains open, and what risks are being accepted. It supports a defensible go-live decision that can be explained later using documented criteria and results.</w:t>
      </w:r>
      <w:r>
        <w:rPr>
          <w:color w:val="000000"/>
        </w:rPr>
        <w:br/>
      </w:r>
      <w:r>
        <w:rPr>
          <w:rStyle w:val="Strong"/>
          <w:rFonts w:eastAsiaTheme="majorEastAsia"/>
          <w:color w:val="000000"/>
        </w:rPr>
        <w:t>Purpose</w:t>
      </w:r>
    </w:p>
    <w:p w14:paraId="3EB66C35" w14:textId="77777777" w:rsidR="004202ED" w:rsidRDefault="004202ED" w:rsidP="004202ED">
      <w:pPr>
        <w:pStyle w:val="NormalWeb"/>
        <w:numPr>
          <w:ilvl w:val="0"/>
          <w:numId w:val="41"/>
        </w:numPr>
        <w:rPr>
          <w:color w:val="000000"/>
        </w:rPr>
      </w:pPr>
      <w:r>
        <w:rPr>
          <w:color w:val="000000"/>
        </w:rPr>
        <w:t>Confirm exit criteria are met for each required test phase (Functional, SIT, UAT, Data Migration, Smoke)</w:t>
      </w:r>
    </w:p>
    <w:p w14:paraId="77620CB6" w14:textId="77777777" w:rsidR="004202ED" w:rsidRDefault="004202ED" w:rsidP="004202ED">
      <w:pPr>
        <w:pStyle w:val="NormalWeb"/>
        <w:numPr>
          <w:ilvl w:val="0"/>
          <w:numId w:val="41"/>
        </w:numPr>
        <w:rPr>
          <w:color w:val="000000"/>
        </w:rPr>
      </w:pPr>
      <w:r>
        <w:rPr>
          <w:color w:val="000000"/>
        </w:rPr>
        <w:t>Provide readiness reporting: open risks, residual issues, and practical mitigations</w:t>
      </w:r>
    </w:p>
    <w:p w14:paraId="078E8BB2" w14:textId="77777777" w:rsidR="004202ED" w:rsidRDefault="004202ED" w:rsidP="004202ED">
      <w:pPr>
        <w:pStyle w:val="NormalWeb"/>
        <w:numPr>
          <w:ilvl w:val="0"/>
          <w:numId w:val="41"/>
        </w:numPr>
        <w:rPr>
          <w:color w:val="000000"/>
        </w:rPr>
      </w:pPr>
      <w:r>
        <w:rPr>
          <w:color w:val="000000"/>
        </w:rPr>
        <w:t>Support go-live sign-off documentation aligned to governance expectations and project methodology</w:t>
      </w:r>
    </w:p>
    <w:p w14:paraId="0291DC99" w14:textId="77777777" w:rsidR="004202ED" w:rsidRDefault="004202ED" w:rsidP="004202ED">
      <w:pPr>
        <w:pStyle w:val="NormalWeb"/>
        <w:rPr>
          <w:color w:val="000000"/>
        </w:rPr>
      </w:pPr>
      <w:r>
        <w:rPr>
          <w:rStyle w:val="Strong"/>
          <w:rFonts w:eastAsiaTheme="majorEastAsia"/>
          <w:color w:val="000000"/>
        </w:rPr>
        <w:t>Why It Matters</w:t>
      </w:r>
    </w:p>
    <w:p w14:paraId="30C87E26" w14:textId="77777777" w:rsidR="004202ED" w:rsidRDefault="004202ED" w:rsidP="004202ED">
      <w:pPr>
        <w:pStyle w:val="NormalWeb"/>
        <w:numPr>
          <w:ilvl w:val="0"/>
          <w:numId w:val="42"/>
        </w:numPr>
        <w:rPr>
          <w:color w:val="000000"/>
        </w:rPr>
      </w:pPr>
      <w:r>
        <w:rPr>
          <w:color w:val="000000"/>
        </w:rPr>
        <w:t>Enables confident go-live decisions with clear, defensible rationale</w:t>
      </w:r>
    </w:p>
    <w:p w14:paraId="169C43DD" w14:textId="77777777" w:rsidR="004202ED" w:rsidRDefault="004202ED" w:rsidP="004202ED">
      <w:pPr>
        <w:pStyle w:val="NormalWeb"/>
        <w:numPr>
          <w:ilvl w:val="0"/>
          <w:numId w:val="42"/>
        </w:numPr>
        <w:rPr>
          <w:color w:val="000000"/>
        </w:rPr>
      </w:pPr>
      <w:r>
        <w:rPr>
          <w:color w:val="000000"/>
        </w:rPr>
        <w:t>Reduces post-launch failures and costly emergency fixes</w:t>
      </w:r>
    </w:p>
    <w:p w14:paraId="03E4276B" w14:textId="77777777" w:rsidR="004202ED" w:rsidRDefault="004202ED" w:rsidP="004202ED">
      <w:pPr>
        <w:pStyle w:val="NormalWeb"/>
        <w:numPr>
          <w:ilvl w:val="0"/>
          <w:numId w:val="42"/>
        </w:numPr>
        <w:rPr>
          <w:color w:val="000000"/>
        </w:rPr>
      </w:pPr>
      <w:r>
        <w:rPr>
          <w:color w:val="000000"/>
        </w:rPr>
        <w:t>Improves stakeholder trust through transparent readiness reporting</w:t>
      </w:r>
    </w:p>
    <w:p w14:paraId="62C8D4D6" w14:textId="77777777" w:rsidR="004202ED" w:rsidRDefault="004202ED" w:rsidP="004202ED">
      <w:pPr>
        <w:pStyle w:val="NormalWeb"/>
        <w:rPr>
          <w:color w:val="000000"/>
        </w:rPr>
      </w:pPr>
      <w:r>
        <w:rPr>
          <w:rStyle w:val="Strong"/>
          <w:rFonts w:eastAsiaTheme="majorEastAsia"/>
          <w:color w:val="000000"/>
        </w:rPr>
        <w:t>Optional Framework Reference</w:t>
      </w:r>
    </w:p>
    <w:p w14:paraId="4D9A12F2" w14:textId="77777777" w:rsidR="004202ED" w:rsidRDefault="004202ED" w:rsidP="004202ED">
      <w:pPr>
        <w:pStyle w:val="NormalWeb"/>
        <w:numPr>
          <w:ilvl w:val="0"/>
          <w:numId w:val="43"/>
        </w:numPr>
        <w:rPr>
          <w:color w:val="000000"/>
        </w:rPr>
      </w:pPr>
      <w:r>
        <w:rPr>
          <w:color w:val="000000"/>
        </w:rPr>
        <w:lastRenderedPageBreak/>
        <w:t>ITIL-aligned service transition principles to reinforce controlled go-live readiness and operational stability</w:t>
      </w:r>
    </w:p>
    <w:p w14:paraId="2AD5BBC3" w14:textId="77777777" w:rsidR="004202ED" w:rsidRDefault="008751C5" w:rsidP="004202ED">
      <w:r>
        <w:rPr>
          <w:noProof/>
        </w:rPr>
        <w:pict w14:anchorId="4C2D74C0">
          <v:rect id="_x0000_i1025" alt="" style="width:431.95pt;height:.05pt;mso-width-percent:0;mso-height-percent:0;mso-width-percent:0;mso-height-percent:0" o:hrpct="923" o:hralign="center" o:hrstd="t" o:hr="t" fillcolor="#a0a0a0" stroked="f"/>
        </w:pict>
      </w:r>
    </w:p>
    <w:p w14:paraId="6490E641" w14:textId="77777777" w:rsidR="004202ED" w:rsidRDefault="004202ED" w:rsidP="004202ED">
      <w:pPr>
        <w:pStyle w:val="Heading4"/>
        <w:rPr>
          <w:color w:val="000000"/>
        </w:rPr>
      </w:pPr>
      <w:r>
        <w:rPr>
          <w:color w:val="000000"/>
        </w:rPr>
        <w:t>Card 8: Post-Go-Live Validation &amp; Stabilization Monitoring</w:t>
      </w:r>
    </w:p>
    <w:p w14:paraId="25DE3138" w14:textId="77777777" w:rsidR="004202ED" w:rsidRDefault="004202ED" w:rsidP="004202ED">
      <w:pPr>
        <w:pStyle w:val="NormalWeb"/>
        <w:rPr>
          <w:color w:val="000000"/>
        </w:rPr>
      </w:pPr>
      <w:r>
        <w:rPr>
          <w:color w:val="000000"/>
        </w:rPr>
        <w:t>This step confirms early production performance against intended outcomes and prevents unresolved issues from quietly becoming operational workarounds. It also captures structured lessons learned to improve future testing governance and implementation execution.</w:t>
      </w:r>
      <w:r>
        <w:rPr>
          <w:color w:val="000000"/>
        </w:rPr>
        <w:br/>
      </w:r>
      <w:r>
        <w:rPr>
          <w:rStyle w:val="Strong"/>
          <w:rFonts w:eastAsiaTheme="majorEastAsia"/>
          <w:color w:val="000000"/>
        </w:rPr>
        <w:t>Purpose</w:t>
      </w:r>
    </w:p>
    <w:p w14:paraId="5812F082" w14:textId="77777777" w:rsidR="004202ED" w:rsidRDefault="004202ED" w:rsidP="004202ED">
      <w:pPr>
        <w:pStyle w:val="NormalWeb"/>
        <w:numPr>
          <w:ilvl w:val="0"/>
          <w:numId w:val="44"/>
        </w:numPr>
        <w:rPr>
          <w:color w:val="000000"/>
        </w:rPr>
      </w:pPr>
      <w:r>
        <w:rPr>
          <w:color w:val="000000"/>
        </w:rPr>
        <w:t>Validate early production outcomes against expected results, controls, and acceptance criteria</w:t>
      </w:r>
    </w:p>
    <w:p w14:paraId="69A189C9" w14:textId="77777777" w:rsidR="004202ED" w:rsidRDefault="004202ED" w:rsidP="004202ED">
      <w:pPr>
        <w:pStyle w:val="NormalWeb"/>
        <w:numPr>
          <w:ilvl w:val="0"/>
          <w:numId w:val="44"/>
        </w:numPr>
        <w:rPr>
          <w:color w:val="000000"/>
        </w:rPr>
      </w:pPr>
      <w:r>
        <w:rPr>
          <w:color w:val="000000"/>
        </w:rPr>
        <w:t>Track stabilization issues and confirm governance over prioritization and fixes</w:t>
      </w:r>
    </w:p>
    <w:p w14:paraId="752FC6B2" w14:textId="77777777" w:rsidR="004202ED" w:rsidRDefault="004202ED" w:rsidP="004202ED">
      <w:pPr>
        <w:pStyle w:val="NormalWeb"/>
        <w:numPr>
          <w:ilvl w:val="0"/>
          <w:numId w:val="44"/>
        </w:numPr>
        <w:rPr>
          <w:color w:val="000000"/>
        </w:rPr>
      </w:pPr>
      <w:r>
        <w:rPr>
          <w:color w:val="000000"/>
        </w:rPr>
        <w:t>Capture lessons learned to refine future testing governance and phase design</w:t>
      </w:r>
    </w:p>
    <w:p w14:paraId="44E6A355" w14:textId="77777777" w:rsidR="004202ED" w:rsidRDefault="004202ED" w:rsidP="004202ED">
      <w:pPr>
        <w:pStyle w:val="NormalWeb"/>
        <w:rPr>
          <w:color w:val="000000"/>
        </w:rPr>
      </w:pPr>
      <w:r>
        <w:rPr>
          <w:rStyle w:val="Strong"/>
          <w:rFonts w:eastAsiaTheme="majorEastAsia"/>
          <w:color w:val="000000"/>
        </w:rPr>
        <w:t>Why It Matters</w:t>
      </w:r>
    </w:p>
    <w:p w14:paraId="5F14D9B4" w14:textId="77777777" w:rsidR="004202ED" w:rsidRDefault="004202ED" w:rsidP="004202ED">
      <w:pPr>
        <w:pStyle w:val="NormalWeb"/>
        <w:numPr>
          <w:ilvl w:val="0"/>
          <w:numId w:val="45"/>
        </w:numPr>
        <w:rPr>
          <w:color w:val="000000"/>
        </w:rPr>
      </w:pPr>
      <w:r>
        <w:rPr>
          <w:color w:val="000000"/>
        </w:rPr>
        <w:t>Reduces extended stabilization periods and operational noise</w:t>
      </w:r>
    </w:p>
    <w:p w14:paraId="3DF0C8D3" w14:textId="77777777" w:rsidR="004202ED" w:rsidRDefault="004202ED" w:rsidP="004202ED">
      <w:pPr>
        <w:pStyle w:val="NormalWeb"/>
        <w:numPr>
          <w:ilvl w:val="0"/>
          <w:numId w:val="45"/>
        </w:numPr>
        <w:rPr>
          <w:color w:val="000000"/>
        </w:rPr>
      </w:pPr>
      <w:r>
        <w:rPr>
          <w:color w:val="000000"/>
        </w:rPr>
        <w:t>Improves long-term reliability through early detection and correction</w:t>
      </w:r>
    </w:p>
    <w:p w14:paraId="595518D9" w14:textId="77777777" w:rsidR="004202ED" w:rsidRDefault="004202ED" w:rsidP="004202ED">
      <w:pPr>
        <w:pStyle w:val="NormalWeb"/>
        <w:numPr>
          <w:ilvl w:val="0"/>
          <w:numId w:val="45"/>
        </w:numPr>
        <w:rPr>
          <w:color w:val="000000"/>
        </w:rPr>
      </w:pPr>
      <w:r>
        <w:rPr>
          <w:color w:val="000000"/>
        </w:rPr>
        <w:t>Strengthens scalability by embedding continuous improvement into delivery practices</w:t>
      </w:r>
    </w:p>
    <w:p w14:paraId="172601C4" w14:textId="07FFB177" w:rsidR="008F4081" w:rsidRPr="004202ED" w:rsidRDefault="008F4081" w:rsidP="004202ED"/>
    <w:sectPr w:rsidR="008F4081" w:rsidRPr="004202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FDE0B3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264D3E"/>
    <w:multiLevelType w:val="multilevel"/>
    <w:tmpl w:val="147A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883171"/>
    <w:multiLevelType w:val="multilevel"/>
    <w:tmpl w:val="EAD0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54F7A"/>
    <w:multiLevelType w:val="multilevel"/>
    <w:tmpl w:val="9C58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5426A"/>
    <w:multiLevelType w:val="multilevel"/>
    <w:tmpl w:val="2B00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F36C03"/>
    <w:multiLevelType w:val="multilevel"/>
    <w:tmpl w:val="068A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290296"/>
    <w:multiLevelType w:val="multilevel"/>
    <w:tmpl w:val="CD90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246007"/>
    <w:multiLevelType w:val="multilevel"/>
    <w:tmpl w:val="8EAE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4C58A6"/>
    <w:multiLevelType w:val="multilevel"/>
    <w:tmpl w:val="1DCC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8800D8"/>
    <w:multiLevelType w:val="multilevel"/>
    <w:tmpl w:val="F870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622A9"/>
    <w:multiLevelType w:val="multilevel"/>
    <w:tmpl w:val="ED34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602195"/>
    <w:multiLevelType w:val="multilevel"/>
    <w:tmpl w:val="F89E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B71CF1"/>
    <w:multiLevelType w:val="multilevel"/>
    <w:tmpl w:val="F098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B91EB1"/>
    <w:multiLevelType w:val="multilevel"/>
    <w:tmpl w:val="2C3C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684CB9"/>
    <w:multiLevelType w:val="multilevel"/>
    <w:tmpl w:val="4C44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875791"/>
    <w:multiLevelType w:val="multilevel"/>
    <w:tmpl w:val="3E18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E60A1B"/>
    <w:multiLevelType w:val="multilevel"/>
    <w:tmpl w:val="B7D0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C96C40"/>
    <w:multiLevelType w:val="multilevel"/>
    <w:tmpl w:val="22AC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787891"/>
    <w:multiLevelType w:val="multilevel"/>
    <w:tmpl w:val="2E2C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851DF4"/>
    <w:multiLevelType w:val="multilevel"/>
    <w:tmpl w:val="C510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CA6B26"/>
    <w:multiLevelType w:val="multilevel"/>
    <w:tmpl w:val="B83E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850200"/>
    <w:multiLevelType w:val="multilevel"/>
    <w:tmpl w:val="EE36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18006A"/>
    <w:multiLevelType w:val="multilevel"/>
    <w:tmpl w:val="3508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F1493E"/>
    <w:multiLevelType w:val="multilevel"/>
    <w:tmpl w:val="1BF2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3D2DD2"/>
    <w:multiLevelType w:val="multilevel"/>
    <w:tmpl w:val="3550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2B1121"/>
    <w:multiLevelType w:val="multilevel"/>
    <w:tmpl w:val="A164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C2184D"/>
    <w:multiLevelType w:val="multilevel"/>
    <w:tmpl w:val="1522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1609DE"/>
    <w:multiLevelType w:val="multilevel"/>
    <w:tmpl w:val="821C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0A0C3A"/>
    <w:multiLevelType w:val="multilevel"/>
    <w:tmpl w:val="9618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E30FF8"/>
    <w:multiLevelType w:val="multilevel"/>
    <w:tmpl w:val="9DC8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4E7895"/>
    <w:multiLevelType w:val="multilevel"/>
    <w:tmpl w:val="6648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FF7AAE"/>
    <w:multiLevelType w:val="multilevel"/>
    <w:tmpl w:val="70AC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B24FD8"/>
    <w:multiLevelType w:val="multilevel"/>
    <w:tmpl w:val="A50A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6D3EAF"/>
    <w:multiLevelType w:val="multilevel"/>
    <w:tmpl w:val="1D4E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6C599E"/>
    <w:multiLevelType w:val="multilevel"/>
    <w:tmpl w:val="A838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C41DAF"/>
    <w:multiLevelType w:val="multilevel"/>
    <w:tmpl w:val="D2E6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732F1A"/>
    <w:multiLevelType w:val="multilevel"/>
    <w:tmpl w:val="4F30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709195">
    <w:abstractNumId w:val="8"/>
  </w:num>
  <w:num w:numId="2" w16cid:durableId="1729259891">
    <w:abstractNumId w:val="6"/>
  </w:num>
  <w:num w:numId="3" w16cid:durableId="307979738">
    <w:abstractNumId w:val="5"/>
  </w:num>
  <w:num w:numId="4" w16cid:durableId="1639649398">
    <w:abstractNumId w:val="4"/>
  </w:num>
  <w:num w:numId="5" w16cid:durableId="966203492">
    <w:abstractNumId w:val="7"/>
  </w:num>
  <w:num w:numId="6" w16cid:durableId="563102738">
    <w:abstractNumId w:val="3"/>
  </w:num>
  <w:num w:numId="7" w16cid:durableId="314530221">
    <w:abstractNumId w:val="2"/>
  </w:num>
  <w:num w:numId="8" w16cid:durableId="1147286118">
    <w:abstractNumId w:val="1"/>
  </w:num>
  <w:num w:numId="9" w16cid:durableId="921140768">
    <w:abstractNumId w:val="0"/>
  </w:num>
  <w:num w:numId="10" w16cid:durableId="1518622221">
    <w:abstractNumId w:val="36"/>
  </w:num>
  <w:num w:numId="11" w16cid:durableId="1193762034">
    <w:abstractNumId w:val="44"/>
  </w:num>
  <w:num w:numId="12" w16cid:durableId="1946231338">
    <w:abstractNumId w:val="40"/>
  </w:num>
  <w:num w:numId="13" w16cid:durableId="1115904847">
    <w:abstractNumId w:val="34"/>
  </w:num>
  <w:num w:numId="14" w16cid:durableId="739642983">
    <w:abstractNumId w:val="23"/>
  </w:num>
  <w:num w:numId="15" w16cid:durableId="268198088">
    <w:abstractNumId w:val="27"/>
  </w:num>
  <w:num w:numId="16" w16cid:durableId="1587037231">
    <w:abstractNumId w:val="25"/>
  </w:num>
  <w:num w:numId="17" w16cid:durableId="784427717">
    <w:abstractNumId w:val="39"/>
  </w:num>
  <w:num w:numId="18" w16cid:durableId="599948589">
    <w:abstractNumId w:val="30"/>
  </w:num>
  <w:num w:numId="19" w16cid:durableId="653216926">
    <w:abstractNumId w:val="41"/>
  </w:num>
  <w:num w:numId="20" w16cid:durableId="439957326">
    <w:abstractNumId w:val="43"/>
  </w:num>
  <w:num w:numId="21" w16cid:durableId="909775695">
    <w:abstractNumId w:val="37"/>
  </w:num>
  <w:num w:numId="22" w16cid:durableId="304168342">
    <w:abstractNumId w:val="35"/>
  </w:num>
  <w:num w:numId="23" w16cid:durableId="362556577">
    <w:abstractNumId w:val="38"/>
  </w:num>
  <w:num w:numId="24" w16cid:durableId="11037723">
    <w:abstractNumId w:val="31"/>
  </w:num>
  <w:num w:numId="25" w16cid:durableId="1590457732">
    <w:abstractNumId w:val="17"/>
  </w:num>
  <w:num w:numId="26" w16cid:durableId="1299339343">
    <w:abstractNumId w:val="21"/>
  </w:num>
  <w:num w:numId="27" w16cid:durableId="1502037500">
    <w:abstractNumId w:val="10"/>
  </w:num>
  <w:num w:numId="28" w16cid:durableId="1867795280">
    <w:abstractNumId w:val="14"/>
  </w:num>
  <w:num w:numId="29" w16cid:durableId="1741706303">
    <w:abstractNumId w:val="12"/>
  </w:num>
  <w:num w:numId="30" w16cid:durableId="109319275">
    <w:abstractNumId w:val="28"/>
  </w:num>
  <w:num w:numId="31" w16cid:durableId="1949072589">
    <w:abstractNumId w:val="9"/>
  </w:num>
  <w:num w:numId="32" w16cid:durableId="1143884004">
    <w:abstractNumId w:val="16"/>
  </w:num>
  <w:num w:numId="33" w16cid:durableId="1475028152">
    <w:abstractNumId w:val="20"/>
  </w:num>
  <w:num w:numId="34" w16cid:durableId="104692120">
    <w:abstractNumId w:val="33"/>
  </w:num>
  <w:num w:numId="35" w16cid:durableId="1861317569">
    <w:abstractNumId w:val="11"/>
  </w:num>
  <w:num w:numId="36" w16cid:durableId="1647007970">
    <w:abstractNumId w:val="13"/>
  </w:num>
  <w:num w:numId="37" w16cid:durableId="1917201915">
    <w:abstractNumId w:val="19"/>
  </w:num>
  <w:num w:numId="38" w16cid:durableId="755711112">
    <w:abstractNumId w:val="22"/>
  </w:num>
  <w:num w:numId="39" w16cid:durableId="1961377512">
    <w:abstractNumId w:val="32"/>
  </w:num>
  <w:num w:numId="40" w16cid:durableId="1863083449">
    <w:abstractNumId w:val="42"/>
  </w:num>
  <w:num w:numId="41" w16cid:durableId="1050423150">
    <w:abstractNumId w:val="24"/>
  </w:num>
  <w:num w:numId="42" w16cid:durableId="1123156515">
    <w:abstractNumId w:val="26"/>
  </w:num>
  <w:num w:numId="43" w16cid:durableId="167983708">
    <w:abstractNumId w:val="18"/>
  </w:num>
  <w:num w:numId="44" w16cid:durableId="631863492">
    <w:abstractNumId w:val="15"/>
  </w:num>
  <w:num w:numId="45" w16cid:durableId="56835086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2ED"/>
    <w:rsid w:val="004B67B8"/>
    <w:rsid w:val="004E5C9C"/>
    <w:rsid w:val="008751C5"/>
    <w:rsid w:val="008F4081"/>
    <w:rsid w:val="00AA1D8D"/>
    <w:rsid w:val="00B47730"/>
    <w:rsid w:val="00CB0664"/>
    <w:rsid w:val="00CD6F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716C5"/>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4E5C9C"/>
  </w:style>
  <w:style w:type="paragraph" w:styleId="NormalWeb">
    <w:name w:val="Normal (Web)"/>
    <w:basedOn w:val="Normal"/>
    <w:uiPriority w:val="99"/>
    <w:semiHidden/>
    <w:unhideWhenUsed/>
    <w:rsid w:val="004E5C9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986</Words>
  <Characters>7288</Characters>
  <Application>Microsoft Office Word</Application>
  <DocSecurity>0</DocSecurity>
  <Lines>158</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2</cp:revision>
  <dcterms:created xsi:type="dcterms:W3CDTF">2013-12-23T23:15:00Z</dcterms:created>
  <dcterms:modified xsi:type="dcterms:W3CDTF">2026-02-01T17:09:00Z</dcterms:modified>
  <cp:category/>
</cp:coreProperties>
</file>