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CE1A" w14:textId="77777777" w:rsidR="0085211B" w:rsidRDefault="0085211B" w:rsidP="0085211B">
      <w:pPr>
        <w:pStyle w:val="Heading2"/>
        <w:rPr>
          <w:color w:val="000000"/>
        </w:rPr>
      </w:pPr>
      <w:r>
        <w:rPr>
          <w:color w:val="000000"/>
        </w:rPr>
        <w:t>Privacy &amp; Data Protection Compliance</w:t>
      </w:r>
    </w:p>
    <w:p w14:paraId="5D3D7B5C" w14:textId="2B84FC8F" w:rsidR="0085211B" w:rsidRDefault="0085211B" w:rsidP="0085211B">
      <w:pPr>
        <w:pStyle w:val="Heading3"/>
        <w:rPr>
          <w:color w:val="000000"/>
        </w:rPr>
      </w:pPr>
      <w:r>
        <w:rPr>
          <w:color w:val="000000"/>
        </w:rPr>
        <w:t>Service Summary</w:t>
      </w:r>
    </w:p>
    <w:p w14:paraId="1AB24FF1" w14:textId="77777777" w:rsidR="0085211B" w:rsidRDefault="0085211B" w:rsidP="0085211B">
      <w:pPr>
        <w:pStyle w:val="NormalWeb"/>
        <w:rPr>
          <w:color w:val="000000"/>
        </w:rPr>
      </w:pPr>
      <w:r>
        <w:rPr>
          <w:color w:val="000000"/>
        </w:rPr>
        <w:t>Privacy &amp; Data Protection Compliance establishes disciplined oversight to manage responsible data handling, transparency, and lifecycle governance across systems and vendors with clear accountability, consistent controls, and defensible documentation. As technology complexity grows, unmanaged decisions in this area can create operational instability, control failures, and regulatory exposure. Quantum delivers governance-first, control-driven advisory grounded in</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translating framework expectations into practical operating discipline. The outcome is improved reliability, audit defensibility, and scalable governance aligned to enterprise needs.</w:t>
      </w:r>
    </w:p>
    <w:p w14:paraId="45B18A05" w14:textId="77777777" w:rsidR="0085211B" w:rsidRDefault="0014784E" w:rsidP="0085211B">
      <w:r>
        <w:rPr>
          <w:noProof/>
        </w:rPr>
        <w:pict w14:anchorId="26F226B6">
          <v:rect id="_x0000_i1028" alt="" style="width:431.95pt;height:.05pt;mso-width-percent:0;mso-height-percent:0;mso-width-percent:0;mso-height-percent:0" o:hrpct="923" o:hralign="center" o:hrstd="t" o:hr="t" fillcolor="#a0a0a0" stroked="f"/>
        </w:pict>
      </w:r>
    </w:p>
    <w:p w14:paraId="4708C7DE" w14:textId="77777777" w:rsidR="0085211B" w:rsidRDefault="0085211B" w:rsidP="0085211B">
      <w:pPr>
        <w:pStyle w:val="Heading3"/>
        <w:rPr>
          <w:color w:val="000000"/>
        </w:rPr>
      </w:pPr>
      <w:r>
        <w:rPr>
          <w:color w:val="000000"/>
        </w:rPr>
        <w:t>Discovery &amp; Operating Context</w:t>
      </w:r>
    </w:p>
    <w:p w14:paraId="36E878A0" w14:textId="77777777" w:rsidR="0085211B" w:rsidRDefault="0085211B" w:rsidP="0085211B">
      <w:pPr>
        <w:pStyle w:val="NormalWeb"/>
        <w:rPr>
          <w:color w:val="000000"/>
        </w:rPr>
      </w:pPr>
      <w:r>
        <w:rPr>
          <w:color w:val="000000"/>
        </w:rPr>
        <w:t>This phase clarifies what “privacy success” means in your operating reality by distinguishing essential data use from avoidable collection and uncontrolled sharing. It also identifies where privacy risk concentrates across the data lifecycle—collection points, integrations, vendor transfers, and retention practices—so governance priorities are set intentionally.</w:t>
      </w:r>
      <w:r>
        <w:rPr>
          <w:color w:val="000000"/>
        </w:rPr>
        <w:br/>
      </w:r>
      <w:r>
        <w:rPr>
          <w:rStyle w:val="Strong"/>
          <w:rFonts w:eastAsiaTheme="majorEastAsia"/>
          <w:color w:val="000000"/>
        </w:rPr>
        <w:t>Purpose</w:t>
      </w:r>
    </w:p>
    <w:p w14:paraId="0F6857F6" w14:textId="77777777" w:rsidR="0085211B" w:rsidRDefault="0085211B" w:rsidP="0085211B">
      <w:pPr>
        <w:pStyle w:val="NormalWeb"/>
        <w:numPr>
          <w:ilvl w:val="0"/>
          <w:numId w:val="10"/>
        </w:numPr>
        <w:rPr>
          <w:color w:val="000000"/>
        </w:rPr>
      </w:pPr>
      <w:r>
        <w:rPr>
          <w:color w:val="000000"/>
        </w:rPr>
        <w:t>Understand the service area scope, dependencies, and decision points</w:t>
      </w:r>
    </w:p>
    <w:p w14:paraId="310336EF" w14:textId="77777777" w:rsidR="0085211B" w:rsidRDefault="0085211B" w:rsidP="0085211B">
      <w:pPr>
        <w:pStyle w:val="NormalWeb"/>
        <w:numPr>
          <w:ilvl w:val="0"/>
          <w:numId w:val="10"/>
        </w:numPr>
        <w:rPr>
          <w:color w:val="000000"/>
        </w:rPr>
      </w:pPr>
      <w:r>
        <w:rPr>
          <w:color w:val="000000"/>
        </w:rPr>
        <w:t>Identify critical risks, compliance needs, and stakeholder expectations</w:t>
      </w:r>
    </w:p>
    <w:p w14:paraId="635F3C00" w14:textId="77777777" w:rsidR="0085211B" w:rsidRDefault="0085211B" w:rsidP="0085211B">
      <w:pPr>
        <w:pStyle w:val="NormalWeb"/>
        <w:numPr>
          <w:ilvl w:val="0"/>
          <w:numId w:val="10"/>
        </w:numPr>
        <w:rPr>
          <w:color w:val="000000"/>
        </w:rPr>
      </w:pPr>
      <w:r>
        <w:rPr>
          <w:color w:val="000000"/>
        </w:rPr>
        <w:t>Define objectives, boundaries, and accountability requirements</w:t>
      </w:r>
    </w:p>
    <w:p w14:paraId="578DA949" w14:textId="77777777" w:rsidR="0085211B" w:rsidRDefault="0085211B" w:rsidP="0085211B">
      <w:pPr>
        <w:pStyle w:val="NormalWeb"/>
        <w:rPr>
          <w:color w:val="000000"/>
        </w:rPr>
      </w:pPr>
      <w:r>
        <w:rPr>
          <w:rStyle w:val="Strong"/>
          <w:rFonts w:eastAsiaTheme="majorEastAsia"/>
          <w:color w:val="000000"/>
        </w:rPr>
        <w:t>Why It Matters</w:t>
      </w:r>
    </w:p>
    <w:p w14:paraId="70A434D3" w14:textId="77777777" w:rsidR="0085211B" w:rsidRDefault="0085211B" w:rsidP="0085211B">
      <w:pPr>
        <w:pStyle w:val="NormalWeb"/>
        <w:numPr>
          <w:ilvl w:val="0"/>
          <w:numId w:val="11"/>
        </w:numPr>
        <w:rPr>
          <w:color w:val="000000"/>
        </w:rPr>
      </w:pPr>
      <w:r>
        <w:rPr>
          <w:color w:val="000000"/>
        </w:rPr>
        <w:t>Creates clarity on what must be governed and why</w:t>
      </w:r>
    </w:p>
    <w:p w14:paraId="668B84A7" w14:textId="77777777" w:rsidR="0085211B" w:rsidRDefault="0085211B" w:rsidP="0085211B">
      <w:pPr>
        <w:pStyle w:val="NormalWeb"/>
        <w:numPr>
          <w:ilvl w:val="0"/>
          <w:numId w:val="11"/>
        </w:numPr>
        <w:rPr>
          <w:color w:val="000000"/>
        </w:rPr>
      </w:pPr>
      <w:r>
        <w:rPr>
          <w:color w:val="000000"/>
        </w:rPr>
        <w:t>Prevents fragmented oversight and inconsistent decisions</w:t>
      </w:r>
    </w:p>
    <w:p w14:paraId="116CDA34" w14:textId="77777777" w:rsidR="0085211B" w:rsidRDefault="0085211B" w:rsidP="0085211B">
      <w:pPr>
        <w:pStyle w:val="NormalWeb"/>
        <w:numPr>
          <w:ilvl w:val="0"/>
          <w:numId w:val="11"/>
        </w:numPr>
        <w:rPr>
          <w:color w:val="000000"/>
        </w:rPr>
      </w:pPr>
      <w:r>
        <w:rPr>
          <w:color w:val="000000"/>
        </w:rPr>
        <w:t>Improves control over risk from the start</w:t>
      </w:r>
    </w:p>
    <w:p w14:paraId="17FBC713" w14:textId="77777777" w:rsidR="0085211B" w:rsidRDefault="0014784E" w:rsidP="0085211B">
      <w:r>
        <w:rPr>
          <w:noProof/>
        </w:rPr>
        <w:pict w14:anchorId="46C92E8B">
          <v:rect id="_x0000_i1027" alt="" style="width:431.95pt;height:.05pt;mso-width-percent:0;mso-height-percent:0;mso-width-percent:0;mso-height-percent:0" o:hrpct="923" o:hralign="center" o:hrstd="t" o:hr="t" fillcolor="#a0a0a0" stroked="f"/>
        </w:pict>
      </w:r>
    </w:p>
    <w:p w14:paraId="3110D0A3" w14:textId="77777777" w:rsidR="0085211B" w:rsidRDefault="0085211B" w:rsidP="0085211B">
      <w:pPr>
        <w:pStyle w:val="Heading3"/>
        <w:rPr>
          <w:color w:val="000000"/>
        </w:rPr>
      </w:pPr>
      <w:r>
        <w:rPr>
          <w:color w:val="000000"/>
        </w:rPr>
        <w:t>Current-State Assessment &amp; Gap Analysis</w:t>
      </w:r>
    </w:p>
    <w:p w14:paraId="6D20C18C" w14:textId="77777777" w:rsidR="0085211B" w:rsidRDefault="0085211B" w:rsidP="0085211B">
      <w:pPr>
        <w:pStyle w:val="NormalWeb"/>
        <w:rPr>
          <w:color w:val="000000"/>
        </w:rPr>
      </w:pPr>
      <w:r>
        <w:rPr>
          <w:color w:val="000000"/>
        </w:rPr>
        <w:t>This phase tests whether privacy practices are</w:t>
      </w:r>
      <w:r>
        <w:rPr>
          <w:rStyle w:val="apple-converted-space"/>
          <w:color w:val="000000"/>
        </w:rPr>
        <w:t> </w:t>
      </w:r>
      <w:r>
        <w:rPr>
          <w:rStyle w:val="Emphasis"/>
          <w:rFonts w:eastAsiaTheme="majorEastAsia"/>
          <w:color w:val="000000"/>
        </w:rPr>
        <w:t>provable</w:t>
      </w:r>
      <w:r>
        <w:rPr>
          <w:rStyle w:val="apple-converted-space"/>
          <w:color w:val="000000"/>
        </w:rPr>
        <w:t> </w:t>
      </w:r>
      <w:r>
        <w:rPr>
          <w:color w:val="000000"/>
        </w:rPr>
        <w:t>through evidence, not just described in policy, including how requests, incidents, and exceptions are handled. It also highlights high-friction areas where operational pressure typically overrides privacy intent—rapid vendor onboarding, product changes, and informal data sharing.</w:t>
      </w:r>
      <w:r>
        <w:rPr>
          <w:color w:val="000000"/>
        </w:rPr>
        <w:br/>
      </w:r>
      <w:r>
        <w:rPr>
          <w:rStyle w:val="Strong"/>
          <w:rFonts w:eastAsiaTheme="majorEastAsia"/>
          <w:color w:val="000000"/>
        </w:rPr>
        <w:t>Purpose</w:t>
      </w:r>
    </w:p>
    <w:p w14:paraId="1CAE0AE0" w14:textId="77777777" w:rsidR="0085211B" w:rsidRDefault="0085211B" w:rsidP="0085211B">
      <w:pPr>
        <w:pStyle w:val="NormalWeb"/>
        <w:numPr>
          <w:ilvl w:val="0"/>
          <w:numId w:val="12"/>
        </w:numPr>
        <w:rPr>
          <w:color w:val="000000"/>
        </w:rPr>
      </w:pPr>
      <w:r>
        <w:rPr>
          <w:color w:val="000000"/>
        </w:rPr>
        <w:t>Assess current practices, documentation, and control effectiveness</w:t>
      </w:r>
    </w:p>
    <w:p w14:paraId="5BE40652" w14:textId="77777777" w:rsidR="0085211B" w:rsidRDefault="0085211B" w:rsidP="0085211B">
      <w:pPr>
        <w:pStyle w:val="NormalWeb"/>
        <w:numPr>
          <w:ilvl w:val="0"/>
          <w:numId w:val="12"/>
        </w:numPr>
        <w:rPr>
          <w:color w:val="000000"/>
        </w:rPr>
      </w:pPr>
      <w:r>
        <w:rPr>
          <w:color w:val="000000"/>
        </w:rPr>
        <w:lastRenderedPageBreak/>
        <w:t>Identify gaps, overlaps, and unmanaged risks</w:t>
      </w:r>
    </w:p>
    <w:p w14:paraId="55D3548D" w14:textId="77777777" w:rsidR="0085211B" w:rsidRDefault="0085211B" w:rsidP="0085211B">
      <w:pPr>
        <w:pStyle w:val="NormalWeb"/>
        <w:numPr>
          <w:ilvl w:val="0"/>
          <w:numId w:val="12"/>
        </w:numPr>
        <w:rPr>
          <w:color w:val="000000"/>
        </w:rPr>
      </w:pPr>
      <w:r>
        <w:rPr>
          <w:color w:val="000000"/>
        </w:rPr>
        <w:t>Prioritize remediation based on impact and feasibility</w:t>
      </w:r>
    </w:p>
    <w:p w14:paraId="275F7A1E" w14:textId="77777777" w:rsidR="0085211B" w:rsidRDefault="0085211B" w:rsidP="0085211B">
      <w:pPr>
        <w:pStyle w:val="NormalWeb"/>
        <w:rPr>
          <w:color w:val="000000"/>
        </w:rPr>
      </w:pPr>
      <w:r>
        <w:rPr>
          <w:rStyle w:val="Strong"/>
          <w:rFonts w:eastAsiaTheme="majorEastAsia"/>
          <w:color w:val="000000"/>
        </w:rPr>
        <w:t>Why It Matters</w:t>
      </w:r>
    </w:p>
    <w:p w14:paraId="14DCA306" w14:textId="77777777" w:rsidR="0085211B" w:rsidRDefault="0085211B" w:rsidP="0085211B">
      <w:pPr>
        <w:pStyle w:val="NormalWeb"/>
        <w:numPr>
          <w:ilvl w:val="0"/>
          <w:numId w:val="13"/>
        </w:numPr>
        <w:rPr>
          <w:color w:val="000000"/>
        </w:rPr>
      </w:pPr>
      <w:r>
        <w:rPr>
          <w:color w:val="000000"/>
        </w:rPr>
        <w:t>Reduces exposure caused by undocumented or inconsistent practices</w:t>
      </w:r>
    </w:p>
    <w:p w14:paraId="6F66D3A6" w14:textId="77777777" w:rsidR="0085211B" w:rsidRDefault="0085211B" w:rsidP="0085211B">
      <w:pPr>
        <w:pStyle w:val="NormalWeb"/>
        <w:numPr>
          <w:ilvl w:val="0"/>
          <w:numId w:val="13"/>
        </w:numPr>
        <w:rPr>
          <w:color w:val="000000"/>
        </w:rPr>
      </w:pPr>
      <w:r>
        <w:rPr>
          <w:color w:val="000000"/>
        </w:rPr>
        <w:t>Improves audit defensibility through clearer evidence and ownership</w:t>
      </w:r>
    </w:p>
    <w:p w14:paraId="56D28987" w14:textId="77777777" w:rsidR="0085211B" w:rsidRDefault="0085211B" w:rsidP="0085211B">
      <w:pPr>
        <w:pStyle w:val="NormalWeb"/>
        <w:numPr>
          <w:ilvl w:val="0"/>
          <w:numId w:val="13"/>
        </w:numPr>
        <w:rPr>
          <w:color w:val="000000"/>
        </w:rPr>
      </w:pPr>
      <w:r>
        <w:rPr>
          <w:color w:val="000000"/>
        </w:rPr>
        <w:t>Creates a fact-based baseline for improvement</w:t>
      </w:r>
    </w:p>
    <w:p w14:paraId="65F2F468" w14:textId="77777777" w:rsidR="0085211B" w:rsidRDefault="0014784E" w:rsidP="0085211B">
      <w:r>
        <w:rPr>
          <w:noProof/>
        </w:rPr>
        <w:pict w14:anchorId="54A9D713">
          <v:rect id="_x0000_i1026" alt="" style="width:431.95pt;height:.05pt;mso-width-percent:0;mso-height-percent:0;mso-width-percent:0;mso-height-percent:0" o:hrpct="923" o:hralign="center" o:hrstd="t" o:hr="t" fillcolor="#a0a0a0" stroked="f"/>
        </w:pict>
      </w:r>
    </w:p>
    <w:p w14:paraId="349716FE" w14:textId="77777777" w:rsidR="0085211B" w:rsidRDefault="0085211B" w:rsidP="0085211B">
      <w:pPr>
        <w:pStyle w:val="Heading3"/>
        <w:rPr>
          <w:color w:val="000000"/>
        </w:rPr>
      </w:pPr>
      <w:r>
        <w:rPr>
          <w:color w:val="000000"/>
        </w:rPr>
        <w:t>Governance Design &amp; Control Standards</w:t>
      </w:r>
    </w:p>
    <w:p w14:paraId="2359E69E" w14:textId="77777777" w:rsidR="0085211B" w:rsidRDefault="0085211B" w:rsidP="0085211B">
      <w:pPr>
        <w:pStyle w:val="NormalWeb"/>
        <w:rPr>
          <w:color w:val="000000"/>
        </w:rPr>
      </w:pPr>
      <w:r>
        <w:rPr>
          <w:color w:val="000000"/>
        </w:rPr>
        <w:t>This phase establishes how privacy decisions are made and enforced—so new uses of data and new vendors follow consistent approval and accountability rules. It also standardizes “minimum expectations” for privacy evidence (what must be documented, retained, and reviewable) so outcomes remain defensible under scrutiny.</w:t>
      </w:r>
      <w:r>
        <w:rPr>
          <w:color w:val="000000"/>
        </w:rPr>
        <w:br/>
      </w:r>
      <w:r>
        <w:rPr>
          <w:rStyle w:val="Strong"/>
          <w:rFonts w:eastAsiaTheme="majorEastAsia"/>
          <w:color w:val="000000"/>
        </w:rPr>
        <w:t>Purpose</w:t>
      </w:r>
    </w:p>
    <w:p w14:paraId="4AF0F4CB" w14:textId="77777777" w:rsidR="0085211B" w:rsidRDefault="0085211B" w:rsidP="0085211B">
      <w:pPr>
        <w:pStyle w:val="NormalWeb"/>
        <w:numPr>
          <w:ilvl w:val="0"/>
          <w:numId w:val="14"/>
        </w:numPr>
        <w:rPr>
          <w:color w:val="000000"/>
        </w:rPr>
      </w:pPr>
      <w:r>
        <w:rPr>
          <w:color w:val="000000"/>
        </w:rPr>
        <w:t>Define roles, decision rights, escalation paths, and oversight routines</w:t>
      </w:r>
    </w:p>
    <w:p w14:paraId="18EBEED5" w14:textId="77777777" w:rsidR="0085211B" w:rsidRDefault="0085211B" w:rsidP="0085211B">
      <w:pPr>
        <w:pStyle w:val="NormalWeb"/>
        <w:numPr>
          <w:ilvl w:val="0"/>
          <w:numId w:val="14"/>
        </w:numPr>
        <w:rPr>
          <w:color w:val="000000"/>
        </w:rPr>
      </w:pPr>
      <w:r>
        <w:rPr>
          <w:color w:val="000000"/>
        </w:rPr>
        <w:t>Establish practical control standards and documentation expectations</w:t>
      </w:r>
    </w:p>
    <w:p w14:paraId="2E36281D" w14:textId="77777777" w:rsidR="0085211B" w:rsidRDefault="0085211B" w:rsidP="0085211B">
      <w:pPr>
        <w:pStyle w:val="NormalWeb"/>
        <w:numPr>
          <w:ilvl w:val="0"/>
          <w:numId w:val="14"/>
        </w:numPr>
        <w:rPr>
          <w:color w:val="000000"/>
        </w:rPr>
      </w:pPr>
      <w:r>
        <w:rPr>
          <w:color w:val="000000"/>
        </w:rPr>
        <w:t>Align governance to operating reality and scalability needs</w:t>
      </w:r>
    </w:p>
    <w:p w14:paraId="6EADA5FE" w14:textId="77777777" w:rsidR="0085211B" w:rsidRDefault="0085211B" w:rsidP="0085211B">
      <w:pPr>
        <w:pStyle w:val="NormalWeb"/>
        <w:rPr>
          <w:color w:val="000000"/>
        </w:rPr>
      </w:pPr>
      <w:r>
        <w:rPr>
          <w:rStyle w:val="Strong"/>
          <w:rFonts w:eastAsiaTheme="majorEastAsia"/>
          <w:color w:val="000000"/>
        </w:rPr>
        <w:t>Why It Matters</w:t>
      </w:r>
    </w:p>
    <w:p w14:paraId="16C5E9BA" w14:textId="77777777" w:rsidR="0085211B" w:rsidRDefault="0085211B" w:rsidP="0085211B">
      <w:pPr>
        <w:pStyle w:val="NormalWeb"/>
        <w:numPr>
          <w:ilvl w:val="0"/>
          <w:numId w:val="15"/>
        </w:numPr>
        <w:rPr>
          <w:color w:val="000000"/>
        </w:rPr>
      </w:pPr>
      <w:r>
        <w:rPr>
          <w:color w:val="000000"/>
        </w:rPr>
        <w:t>Improves operational control and accountability</w:t>
      </w:r>
    </w:p>
    <w:p w14:paraId="41A43FFD" w14:textId="77777777" w:rsidR="0085211B" w:rsidRDefault="0085211B" w:rsidP="0085211B">
      <w:pPr>
        <w:pStyle w:val="NormalWeb"/>
        <w:numPr>
          <w:ilvl w:val="0"/>
          <w:numId w:val="15"/>
        </w:numPr>
        <w:rPr>
          <w:color w:val="000000"/>
        </w:rPr>
      </w:pPr>
      <w:r>
        <w:rPr>
          <w:color w:val="000000"/>
        </w:rPr>
        <w:t>Strengthens predictability and consistency across teams and vendors</w:t>
      </w:r>
    </w:p>
    <w:p w14:paraId="5537A852" w14:textId="77777777" w:rsidR="0085211B" w:rsidRDefault="0085211B" w:rsidP="0085211B">
      <w:pPr>
        <w:pStyle w:val="NormalWeb"/>
        <w:numPr>
          <w:ilvl w:val="0"/>
          <w:numId w:val="15"/>
        </w:numPr>
        <w:rPr>
          <w:color w:val="000000"/>
        </w:rPr>
      </w:pPr>
      <w:r>
        <w:rPr>
          <w:color w:val="000000"/>
        </w:rPr>
        <w:t>Supports scalable governance as complexity increases</w:t>
      </w:r>
    </w:p>
    <w:p w14:paraId="534142B5" w14:textId="77777777" w:rsidR="0085211B" w:rsidRDefault="0085211B" w:rsidP="0085211B">
      <w:pPr>
        <w:pStyle w:val="NormalWeb"/>
        <w:rPr>
          <w:color w:val="000000"/>
        </w:rPr>
      </w:pPr>
      <w:r>
        <w:rPr>
          <w:rStyle w:val="Strong"/>
          <w:rFonts w:eastAsiaTheme="majorEastAsia"/>
          <w:color w:val="000000"/>
        </w:rPr>
        <w:t>Optional Framework Reference</w:t>
      </w:r>
    </w:p>
    <w:p w14:paraId="09A8E955" w14:textId="77777777" w:rsidR="0085211B" w:rsidRDefault="0085211B" w:rsidP="0085211B">
      <w:pPr>
        <w:pStyle w:val="NormalWeb"/>
        <w:numPr>
          <w:ilvl w:val="0"/>
          <w:numId w:val="16"/>
        </w:numPr>
        <w:rPr>
          <w:color w:val="000000"/>
        </w:rPr>
      </w:pPr>
      <w:r>
        <w:rPr>
          <w:color w:val="000000"/>
        </w:rPr>
        <w:t>NIST Privacy Framework and ISO/IEC 27701-aligned privacy governance to support accountable data protection</w:t>
      </w:r>
    </w:p>
    <w:p w14:paraId="300C119C" w14:textId="77777777" w:rsidR="0085211B" w:rsidRDefault="0014784E" w:rsidP="0085211B">
      <w:r>
        <w:rPr>
          <w:noProof/>
        </w:rPr>
        <w:pict w14:anchorId="137CD18D">
          <v:rect id="_x0000_i1025" alt="" style="width:431.95pt;height:.05pt;mso-width-percent:0;mso-height-percent:0;mso-width-percent:0;mso-height-percent:0" o:hrpct="923" o:hralign="center" o:hrstd="t" o:hr="t" fillcolor="#a0a0a0" stroked="f"/>
        </w:pict>
      </w:r>
    </w:p>
    <w:p w14:paraId="5A0C5C32" w14:textId="77777777" w:rsidR="0085211B" w:rsidRDefault="0085211B" w:rsidP="0085211B">
      <w:pPr>
        <w:pStyle w:val="Heading3"/>
        <w:rPr>
          <w:color w:val="000000"/>
        </w:rPr>
      </w:pPr>
      <w:r>
        <w:rPr>
          <w:color w:val="000000"/>
        </w:rPr>
        <w:t>Operating Discipline &amp; Monitoring</w:t>
      </w:r>
    </w:p>
    <w:p w14:paraId="2739D1CB" w14:textId="77777777" w:rsidR="0085211B" w:rsidRDefault="0085211B" w:rsidP="0085211B">
      <w:pPr>
        <w:pStyle w:val="NormalWeb"/>
        <w:rPr>
          <w:color w:val="000000"/>
        </w:rPr>
      </w:pPr>
      <w:r>
        <w:rPr>
          <w:color w:val="000000"/>
        </w:rPr>
        <w:t>This phase turns privacy governance into a steady operating rhythm by embedding privacy checkpoints into real change events—system updates, vendor renewals, data sharing expansions, and process redesigns. It also enables early detection of drift (new data fields, expanded access, undocumented transfers) before it becomes an incident or an audit issue.</w:t>
      </w:r>
      <w:r>
        <w:rPr>
          <w:color w:val="000000"/>
        </w:rPr>
        <w:br/>
      </w:r>
      <w:r>
        <w:rPr>
          <w:rStyle w:val="Strong"/>
          <w:rFonts w:eastAsiaTheme="majorEastAsia"/>
          <w:color w:val="000000"/>
        </w:rPr>
        <w:t>Purpose</w:t>
      </w:r>
    </w:p>
    <w:p w14:paraId="7032143D" w14:textId="77777777" w:rsidR="0085211B" w:rsidRDefault="0085211B" w:rsidP="0085211B">
      <w:pPr>
        <w:pStyle w:val="NormalWeb"/>
        <w:numPr>
          <w:ilvl w:val="0"/>
          <w:numId w:val="17"/>
        </w:numPr>
        <w:rPr>
          <w:color w:val="000000"/>
        </w:rPr>
      </w:pPr>
      <w:r>
        <w:rPr>
          <w:color w:val="000000"/>
        </w:rPr>
        <w:t>Define repeatable workflows for approvals, changes, and exceptions</w:t>
      </w:r>
    </w:p>
    <w:p w14:paraId="4C3F4A8A" w14:textId="77777777" w:rsidR="0085211B" w:rsidRDefault="0085211B" w:rsidP="0085211B">
      <w:pPr>
        <w:pStyle w:val="NormalWeb"/>
        <w:numPr>
          <w:ilvl w:val="0"/>
          <w:numId w:val="17"/>
        </w:numPr>
        <w:rPr>
          <w:color w:val="000000"/>
        </w:rPr>
      </w:pPr>
      <w:r>
        <w:rPr>
          <w:color w:val="000000"/>
        </w:rPr>
        <w:lastRenderedPageBreak/>
        <w:t>Establish monitoring metrics and reporting cadence</w:t>
      </w:r>
    </w:p>
    <w:p w14:paraId="331B7D01" w14:textId="77777777" w:rsidR="0085211B" w:rsidRDefault="0085211B" w:rsidP="0085211B">
      <w:pPr>
        <w:pStyle w:val="NormalWeb"/>
        <w:numPr>
          <w:ilvl w:val="0"/>
          <w:numId w:val="17"/>
        </w:numPr>
        <w:rPr>
          <w:color w:val="000000"/>
        </w:rPr>
      </w:pPr>
      <w:r>
        <w:rPr>
          <w:color w:val="000000"/>
        </w:rPr>
        <w:t>Create a controlled mechanism for continuous refinement</w:t>
      </w:r>
    </w:p>
    <w:p w14:paraId="40976648" w14:textId="77777777" w:rsidR="0085211B" w:rsidRDefault="0085211B" w:rsidP="0085211B">
      <w:pPr>
        <w:pStyle w:val="NormalWeb"/>
        <w:rPr>
          <w:color w:val="000000"/>
        </w:rPr>
      </w:pPr>
      <w:r>
        <w:rPr>
          <w:rStyle w:val="Strong"/>
          <w:rFonts w:eastAsiaTheme="majorEastAsia"/>
          <w:color w:val="000000"/>
        </w:rPr>
        <w:t>Why It Matters</w:t>
      </w:r>
    </w:p>
    <w:p w14:paraId="0B3BA69C" w14:textId="77777777" w:rsidR="0085211B" w:rsidRDefault="0085211B" w:rsidP="0085211B">
      <w:pPr>
        <w:pStyle w:val="NormalWeb"/>
        <w:numPr>
          <w:ilvl w:val="0"/>
          <w:numId w:val="18"/>
        </w:numPr>
        <w:rPr>
          <w:color w:val="000000"/>
        </w:rPr>
      </w:pPr>
      <w:r>
        <w:rPr>
          <w:color w:val="000000"/>
        </w:rPr>
        <w:t>Prevents governance drift and control decay over time</w:t>
      </w:r>
    </w:p>
    <w:p w14:paraId="0A7368F8" w14:textId="77777777" w:rsidR="0085211B" w:rsidRDefault="0085211B" w:rsidP="0085211B">
      <w:pPr>
        <w:pStyle w:val="NormalWeb"/>
        <w:numPr>
          <w:ilvl w:val="0"/>
          <w:numId w:val="18"/>
        </w:numPr>
        <w:rPr>
          <w:color w:val="000000"/>
        </w:rPr>
      </w:pPr>
      <w:r>
        <w:rPr>
          <w:color w:val="000000"/>
        </w:rPr>
        <w:t>Improves reliability and reduces disruption risk</w:t>
      </w:r>
    </w:p>
    <w:p w14:paraId="088EB1B6" w14:textId="77777777" w:rsidR="0085211B" w:rsidRDefault="0085211B" w:rsidP="0085211B">
      <w:pPr>
        <w:pStyle w:val="NormalWeb"/>
        <w:numPr>
          <w:ilvl w:val="0"/>
          <w:numId w:val="18"/>
        </w:numPr>
        <w:rPr>
          <w:color w:val="000000"/>
        </w:rPr>
      </w:pPr>
      <w:r>
        <w:rPr>
          <w:color w:val="000000"/>
        </w:rPr>
        <w:t>Creates measurable oversight for stakeholder confidence</w:t>
      </w:r>
    </w:p>
    <w:p w14:paraId="190CA89E" w14:textId="28C82698" w:rsidR="000541AD" w:rsidRPr="0085211B" w:rsidRDefault="000541AD" w:rsidP="0085211B"/>
    <w:sectPr w:rsidR="000541AD" w:rsidRPr="008521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71625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C684E"/>
    <w:multiLevelType w:val="multilevel"/>
    <w:tmpl w:val="A39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07E10"/>
    <w:multiLevelType w:val="multilevel"/>
    <w:tmpl w:val="05FE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F62C5"/>
    <w:multiLevelType w:val="multilevel"/>
    <w:tmpl w:val="DCB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4222E"/>
    <w:multiLevelType w:val="multilevel"/>
    <w:tmpl w:val="118C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46F7E"/>
    <w:multiLevelType w:val="multilevel"/>
    <w:tmpl w:val="199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E7900"/>
    <w:multiLevelType w:val="multilevel"/>
    <w:tmpl w:val="72D0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B2DA8"/>
    <w:multiLevelType w:val="multilevel"/>
    <w:tmpl w:val="7C48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E63D0"/>
    <w:multiLevelType w:val="multilevel"/>
    <w:tmpl w:val="C5CE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92070"/>
    <w:multiLevelType w:val="multilevel"/>
    <w:tmpl w:val="55F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659741">
    <w:abstractNumId w:val="8"/>
  </w:num>
  <w:num w:numId="2" w16cid:durableId="462575600">
    <w:abstractNumId w:val="6"/>
  </w:num>
  <w:num w:numId="3" w16cid:durableId="254293506">
    <w:abstractNumId w:val="5"/>
  </w:num>
  <w:num w:numId="4" w16cid:durableId="1532104852">
    <w:abstractNumId w:val="4"/>
  </w:num>
  <w:num w:numId="5" w16cid:durableId="2096591171">
    <w:abstractNumId w:val="7"/>
  </w:num>
  <w:num w:numId="6" w16cid:durableId="1894582826">
    <w:abstractNumId w:val="3"/>
  </w:num>
  <w:num w:numId="7" w16cid:durableId="855190815">
    <w:abstractNumId w:val="2"/>
  </w:num>
  <w:num w:numId="8" w16cid:durableId="928269822">
    <w:abstractNumId w:val="1"/>
  </w:num>
  <w:num w:numId="9" w16cid:durableId="19355442">
    <w:abstractNumId w:val="0"/>
  </w:num>
  <w:num w:numId="10" w16cid:durableId="400904000">
    <w:abstractNumId w:val="10"/>
  </w:num>
  <w:num w:numId="11" w16cid:durableId="1961690713">
    <w:abstractNumId w:val="13"/>
  </w:num>
  <w:num w:numId="12" w16cid:durableId="375281409">
    <w:abstractNumId w:val="14"/>
  </w:num>
  <w:num w:numId="13" w16cid:durableId="1321810720">
    <w:abstractNumId w:val="11"/>
  </w:num>
  <w:num w:numId="14" w16cid:durableId="1306395619">
    <w:abstractNumId w:val="17"/>
  </w:num>
  <w:num w:numId="15" w16cid:durableId="1521817674">
    <w:abstractNumId w:val="15"/>
  </w:num>
  <w:num w:numId="16" w16cid:durableId="2110733759">
    <w:abstractNumId w:val="12"/>
  </w:num>
  <w:num w:numId="17" w16cid:durableId="644242089">
    <w:abstractNumId w:val="9"/>
  </w:num>
  <w:num w:numId="18" w16cid:durableId="17822620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1AD"/>
    <w:rsid w:val="0006063C"/>
    <w:rsid w:val="0014784E"/>
    <w:rsid w:val="0015074B"/>
    <w:rsid w:val="0029639D"/>
    <w:rsid w:val="00326F90"/>
    <w:rsid w:val="0085211B"/>
    <w:rsid w:val="00AA1D8D"/>
    <w:rsid w:val="00B47730"/>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1686B"/>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521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521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473</Words>
  <Characters>3467</Characters>
  <Application>Microsoft Office Word</Application>
  <DocSecurity>0</DocSecurity>
  <Lines>75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2026-02-01T19:37:00Z</dcterms:modified>
  <cp:category/>
</cp:coreProperties>
</file>