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1087" w14:textId="77777777" w:rsidR="00754E0C" w:rsidRDefault="00754E0C" w:rsidP="00754E0C">
      <w:pPr>
        <w:pStyle w:val="Heading2"/>
        <w:rPr>
          <w:color w:val="000000"/>
        </w:rPr>
      </w:pPr>
      <w:r>
        <w:rPr>
          <w:color w:val="000000"/>
        </w:rPr>
        <w:t>Software Asset Management (SAM)</w:t>
      </w:r>
    </w:p>
    <w:p w14:paraId="1FA7C5B7" w14:textId="5A4E7EFA" w:rsidR="00754E0C" w:rsidRDefault="00754E0C" w:rsidP="00754E0C">
      <w:pPr>
        <w:pStyle w:val="Heading3"/>
        <w:rPr>
          <w:color w:val="000000"/>
        </w:rPr>
      </w:pPr>
      <w:r>
        <w:rPr>
          <w:color w:val="000000"/>
        </w:rPr>
        <w:t xml:space="preserve">Service Summary </w:t>
      </w:r>
    </w:p>
    <w:p w14:paraId="0258B994" w14:textId="77777777" w:rsidR="00754E0C" w:rsidRDefault="00754E0C" w:rsidP="00754E0C">
      <w:pPr>
        <w:pStyle w:val="NormalWeb"/>
        <w:rPr>
          <w:color w:val="000000"/>
        </w:rPr>
      </w:pPr>
      <w:r>
        <w:rPr>
          <w:color w:val="000000"/>
        </w:rPr>
        <w:t>Software Asset Management (SAM) establishes disciplined oversight to manage software inventory, license compliance, renewal governance, and cost accountability across the portfolio with clear accountability, consistent controls, and defensible documentation. As technology complexity grows, unmanaged SAM decisions can drive unplanned spend, audit findings, contract disputes, and operational disruption when licenses and usage are not controlled. Quantum delivers governance-first, control-driven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SAM expectations into practical operating discipline. Where tooling is used, we help evaluate tool-related risks (data accuracy, access, integrations, vendor claims, and audit dependency), select fit-for-purpose platforms, and implement a governance framework that ensures tools produce reliable, defensible outcomes rather than unmanaged complexity.</w:t>
      </w:r>
    </w:p>
    <w:p w14:paraId="20D409CE" w14:textId="77777777" w:rsidR="00754E0C" w:rsidRDefault="00FC63AB" w:rsidP="00754E0C">
      <w:pPr>
        <w:rPr>
          <w:color w:val="000000"/>
        </w:rPr>
      </w:pPr>
      <w:r>
        <w:rPr>
          <w:noProof/>
          <w:color w:val="000000"/>
        </w:rPr>
        <w:pict w14:anchorId="541CBAEC">
          <v:rect id="_x0000_i1029" alt="" style="width:398.75pt;height:.05pt;mso-width-percent:0;mso-height-percent:0;mso-width-percent:0;mso-height-percent:0" o:hrpct="852" o:hralign="center" o:hrstd="t" o:hr="t" fillcolor="#a0a0a0" stroked="f"/>
        </w:pict>
      </w:r>
    </w:p>
    <w:p w14:paraId="0188EFAB" w14:textId="77777777" w:rsidR="00754E0C" w:rsidRDefault="00754E0C" w:rsidP="00754E0C">
      <w:pPr>
        <w:pStyle w:val="Heading3"/>
        <w:rPr>
          <w:color w:val="000000"/>
        </w:rPr>
      </w:pPr>
      <w:r>
        <w:rPr>
          <w:color w:val="000000"/>
        </w:rPr>
        <w:t>Service Cards (Website Tiles)</w:t>
      </w:r>
    </w:p>
    <w:p w14:paraId="7D5F36B4" w14:textId="77777777" w:rsidR="00754E0C" w:rsidRDefault="00754E0C" w:rsidP="00754E0C">
      <w:pPr>
        <w:pStyle w:val="Heading4"/>
        <w:rPr>
          <w:color w:val="000000"/>
        </w:rPr>
      </w:pPr>
      <w:r>
        <w:rPr>
          <w:color w:val="000000"/>
        </w:rPr>
        <w:t>Card 1: Discovery &amp; Operating Context</w:t>
      </w:r>
    </w:p>
    <w:p w14:paraId="48C29173" w14:textId="77777777" w:rsidR="00754E0C" w:rsidRDefault="00754E0C" w:rsidP="00754E0C">
      <w:pPr>
        <w:pStyle w:val="NormalWeb"/>
        <w:rPr>
          <w:color w:val="000000"/>
        </w:rPr>
      </w:pPr>
      <w:r>
        <w:rPr>
          <w:color w:val="000000"/>
        </w:rPr>
        <w:t>This step clarifies where software is acquired, deployed, accessed, and renewed across the organization—including informal channels that often bypass governance. It also identifies which outcomes matter most (cost control, compliance posture, audit readiness, or operational continuity) so SAM priorities are set intentionally.</w:t>
      </w:r>
      <w:r>
        <w:rPr>
          <w:color w:val="000000"/>
        </w:rPr>
        <w:br/>
      </w:r>
      <w:r>
        <w:rPr>
          <w:rStyle w:val="Strong"/>
          <w:rFonts w:eastAsiaTheme="majorEastAsia"/>
          <w:color w:val="000000"/>
        </w:rPr>
        <w:t>Purpose</w:t>
      </w:r>
    </w:p>
    <w:p w14:paraId="6B52C9F5" w14:textId="77777777" w:rsidR="00754E0C" w:rsidRDefault="00754E0C" w:rsidP="00754E0C">
      <w:pPr>
        <w:pStyle w:val="NormalWeb"/>
        <w:numPr>
          <w:ilvl w:val="0"/>
          <w:numId w:val="10"/>
        </w:numPr>
        <w:rPr>
          <w:color w:val="000000"/>
        </w:rPr>
      </w:pPr>
      <w:r>
        <w:rPr>
          <w:color w:val="000000"/>
        </w:rPr>
        <w:t>Understand the service area scope, dependencies, and decision points</w:t>
      </w:r>
    </w:p>
    <w:p w14:paraId="621AAC65" w14:textId="77777777" w:rsidR="00754E0C" w:rsidRDefault="00754E0C" w:rsidP="00754E0C">
      <w:pPr>
        <w:pStyle w:val="NormalWeb"/>
        <w:numPr>
          <w:ilvl w:val="0"/>
          <w:numId w:val="10"/>
        </w:numPr>
        <w:rPr>
          <w:color w:val="000000"/>
        </w:rPr>
      </w:pPr>
      <w:r>
        <w:rPr>
          <w:color w:val="000000"/>
        </w:rPr>
        <w:t>Identify critical risks, compliance needs, and stakeholder expectations</w:t>
      </w:r>
    </w:p>
    <w:p w14:paraId="34548A37" w14:textId="77777777" w:rsidR="00754E0C" w:rsidRDefault="00754E0C" w:rsidP="00754E0C">
      <w:pPr>
        <w:pStyle w:val="NormalWeb"/>
        <w:numPr>
          <w:ilvl w:val="0"/>
          <w:numId w:val="10"/>
        </w:numPr>
        <w:rPr>
          <w:color w:val="000000"/>
        </w:rPr>
      </w:pPr>
      <w:r>
        <w:rPr>
          <w:color w:val="000000"/>
        </w:rPr>
        <w:t>Define objectives, boundaries, and accountability requirements</w:t>
      </w:r>
    </w:p>
    <w:p w14:paraId="2A472C8F" w14:textId="77777777" w:rsidR="00754E0C" w:rsidRDefault="00754E0C" w:rsidP="00754E0C">
      <w:pPr>
        <w:pStyle w:val="NormalWeb"/>
        <w:rPr>
          <w:color w:val="000000"/>
        </w:rPr>
      </w:pPr>
      <w:r>
        <w:rPr>
          <w:rStyle w:val="Strong"/>
          <w:rFonts w:eastAsiaTheme="majorEastAsia"/>
          <w:color w:val="000000"/>
        </w:rPr>
        <w:t>Why It Matters</w:t>
      </w:r>
    </w:p>
    <w:p w14:paraId="078535DB" w14:textId="77777777" w:rsidR="00754E0C" w:rsidRDefault="00754E0C" w:rsidP="00754E0C">
      <w:pPr>
        <w:pStyle w:val="NormalWeb"/>
        <w:numPr>
          <w:ilvl w:val="0"/>
          <w:numId w:val="11"/>
        </w:numPr>
        <w:rPr>
          <w:color w:val="000000"/>
        </w:rPr>
      </w:pPr>
      <w:r>
        <w:rPr>
          <w:color w:val="000000"/>
        </w:rPr>
        <w:t>Creates clarity on what must be governed and why</w:t>
      </w:r>
    </w:p>
    <w:p w14:paraId="1C6FC61D" w14:textId="77777777" w:rsidR="00754E0C" w:rsidRDefault="00754E0C" w:rsidP="00754E0C">
      <w:pPr>
        <w:pStyle w:val="NormalWeb"/>
        <w:numPr>
          <w:ilvl w:val="0"/>
          <w:numId w:val="11"/>
        </w:numPr>
        <w:rPr>
          <w:color w:val="000000"/>
        </w:rPr>
      </w:pPr>
      <w:r>
        <w:rPr>
          <w:color w:val="000000"/>
        </w:rPr>
        <w:t>Prevents fragmented oversight and inconsistent decisions</w:t>
      </w:r>
    </w:p>
    <w:p w14:paraId="070FF8D1" w14:textId="77777777" w:rsidR="00754E0C" w:rsidRDefault="00754E0C" w:rsidP="00754E0C">
      <w:pPr>
        <w:pStyle w:val="NormalWeb"/>
        <w:numPr>
          <w:ilvl w:val="0"/>
          <w:numId w:val="11"/>
        </w:numPr>
        <w:rPr>
          <w:color w:val="000000"/>
        </w:rPr>
      </w:pPr>
      <w:r>
        <w:rPr>
          <w:color w:val="000000"/>
        </w:rPr>
        <w:t>Improves control over risk from the start</w:t>
      </w:r>
    </w:p>
    <w:p w14:paraId="0AC918D6" w14:textId="77777777" w:rsidR="00754E0C" w:rsidRDefault="00FC63AB" w:rsidP="00754E0C">
      <w:pPr>
        <w:rPr>
          <w:color w:val="000000"/>
        </w:rPr>
      </w:pPr>
      <w:r>
        <w:rPr>
          <w:noProof/>
          <w:color w:val="000000"/>
        </w:rPr>
        <w:pict w14:anchorId="7F3681C1">
          <v:rect id="_x0000_i1028" alt="" style="width:398.75pt;height:.05pt;mso-width-percent:0;mso-height-percent:0;mso-width-percent:0;mso-height-percent:0" o:hrpct="852" o:hralign="center" o:hrstd="t" o:hr="t" fillcolor="#a0a0a0" stroked="f"/>
        </w:pict>
      </w:r>
    </w:p>
    <w:p w14:paraId="5FCA71FA" w14:textId="77777777" w:rsidR="00754E0C" w:rsidRDefault="00754E0C" w:rsidP="00754E0C">
      <w:pPr>
        <w:pStyle w:val="Heading4"/>
        <w:rPr>
          <w:color w:val="000000"/>
        </w:rPr>
      </w:pPr>
      <w:r>
        <w:rPr>
          <w:color w:val="000000"/>
        </w:rPr>
        <w:t>Card 2: Current-State Assessment &amp; Gap Analysis</w:t>
      </w:r>
    </w:p>
    <w:p w14:paraId="74837269" w14:textId="77777777" w:rsidR="00754E0C" w:rsidRDefault="00754E0C" w:rsidP="00754E0C">
      <w:pPr>
        <w:pStyle w:val="NormalWeb"/>
        <w:rPr>
          <w:color w:val="000000"/>
        </w:rPr>
      </w:pPr>
      <w:r>
        <w:rPr>
          <w:color w:val="000000"/>
        </w:rPr>
        <w:t xml:space="preserve">This step establishes what is truly known versus assumed about inventory, entitlements, and usage—surfacing the typical disconnect between contracts, deployments, and access records. It also highlights tool-related risks such as incomplete discovery coverage, </w:t>
      </w:r>
      <w:r>
        <w:rPr>
          <w:color w:val="000000"/>
        </w:rPr>
        <w:lastRenderedPageBreak/>
        <w:t>mismatched license logic, and unreliable data feeds that can undermine compliance conclusions.</w:t>
      </w:r>
      <w:r>
        <w:rPr>
          <w:color w:val="000000"/>
        </w:rPr>
        <w:br/>
      </w:r>
      <w:r>
        <w:rPr>
          <w:rStyle w:val="Strong"/>
          <w:rFonts w:eastAsiaTheme="majorEastAsia"/>
          <w:color w:val="000000"/>
        </w:rPr>
        <w:t>Purpose</w:t>
      </w:r>
    </w:p>
    <w:p w14:paraId="71C92A3E" w14:textId="77777777" w:rsidR="00754E0C" w:rsidRDefault="00754E0C" w:rsidP="00754E0C">
      <w:pPr>
        <w:pStyle w:val="NormalWeb"/>
        <w:numPr>
          <w:ilvl w:val="0"/>
          <w:numId w:val="12"/>
        </w:numPr>
        <w:rPr>
          <w:color w:val="000000"/>
        </w:rPr>
      </w:pPr>
      <w:r>
        <w:rPr>
          <w:color w:val="000000"/>
        </w:rPr>
        <w:t>Assess current practices, documentation, and control effectiveness</w:t>
      </w:r>
    </w:p>
    <w:p w14:paraId="4D666F5A" w14:textId="77777777" w:rsidR="00754E0C" w:rsidRDefault="00754E0C" w:rsidP="00754E0C">
      <w:pPr>
        <w:pStyle w:val="NormalWeb"/>
        <w:numPr>
          <w:ilvl w:val="0"/>
          <w:numId w:val="12"/>
        </w:numPr>
        <w:rPr>
          <w:color w:val="000000"/>
        </w:rPr>
      </w:pPr>
      <w:r>
        <w:rPr>
          <w:color w:val="000000"/>
        </w:rPr>
        <w:t>Identify gaps, overlaps, and unmanaged risks</w:t>
      </w:r>
    </w:p>
    <w:p w14:paraId="6DCAC003" w14:textId="77777777" w:rsidR="00754E0C" w:rsidRDefault="00754E0C" w:rsidP="00754E0C">
      <w:pPr>
        <w:pStyle w:val="NormalWeb"/>
        <w:numPr>
          <w:ilvl w:val="0"/>
          <w:numId w:val="12"/>
        </w:numPr>
        <w:rPr>
          <w:color w:val="000000"/>
        </w:rPr>
      </w:pPr>
      <w:r>
        <w:rPr>
          <w:color w:val="000000"/>
        </w:rPr>
        <w:t>Prioritize remediation based on impact and feasibility</w:t>
      </w:r>
    </w:p>
    <w:p w14:paraId="163517A6" w14:textId="77777777" w:rsidR="00754E0C" w:rsidRDefault="00754E0C" w:rsidP="00754E0C">
      <w:pPr>
        <w:pStyle w:val="NormalWeb"/>
        <w:rPr>
          <w:color w:val="000000"/>
        </w:rPr>
      </w:pPr>
      <w:r>
        <w:rPr>
          <w:rStyle w:val="Strong"/>
          <w:rFonts w:eastAsiaTheme="majorEastAsia"/>
          <w:color w:val="000000"/>
        </w:rPr>
        <w:t>Why It Matters</w:t>
      </w:r>
    </w:p>
    <w:p w14:paraId="0DD8E5A4" w14:textId="77777777" w:rsidR="00754E0C" w:rsidRDefault="00754E0C" w:rsidP="00754E0C">
      <w:pPr>
        <w:pStyle w:val="NormalWeb"/>
        <w:numPr>
          <w:ilvl w:val="0"/>
          <w:numId w:val="13"/>
        </w:numPr>
        <w:rPr>
          <w:color w:val="000000"/>
        </w:rPr>
      </w:pPr>
      <w:r>
        <w:rPr>
          <w:color w:val="000000"/>
        </w:rPr>
        <w:t>Reduces exposure caused by undocumented or inconsistent practices</w:t>
      </w:r>
    </w:p>
    <w:p w14:paraId="54EE901B" w14:textId="77777777" w:rsidR="00754E0C" w:rsidRDefault="00754E0C" w:rsidP="00754E0C">
      <w:pPr>
        <w:pStyle w:val="NormalWeb"/>
        <w:numPr>
          <w:ilvl w:val="0"/>
          <w:numId w:val="13"/>
        </w:numPr>
        <w:rPr>
          <w:color w:val="000000"/>
        </w:rPr>
      </w:pPr>
      <w:r>
        <w:rPr>
          <w:color w:val="000000"/>
        </w:rPr>
        <w:t>Improves audit defensibility through clearer evidence and ownership</w:t>
      </w:r>
    </w:p>
    <w:p w14:paraId="5F1B393E" w14:textId="77777777" w:rsidR="00754E0C" w:rsidRDefault="00754E0C" w:rsidP="00754E0C">
      <w:pPr>
        <w:pStyle w:val="NormalWeb"/>
        <w:numPr>
          <w:ilvl w:val="0"/>
          <w:numId w:val="13"/>
        </w:numPr>
        <w:rPr>
          <w:color w:val="000000"/>
        </w:rPr>
      </w:pPr>
      <w:r>
        <w:rPr>
          <w:color w:val="000000"/>
        </w:rPr>
        <w:t>Creates a fact-based baseline for improvement</w:t>
      </w:r>
    </w:p>
    <w:p w14:paraId="326FECC5" w14:textId="77777777" w:rsidR="00754E0C" w:rsidRDefault="00FC63AB" w:rsidP="00754E0C">
      <w:pPr>
        <w:rPr>
          <w:color w:val="000000"/>
        </w:rPr>
      </w:pPr>
      <w:r>
        <w:rPr>
          <w:noProof/>
          <w:color w:val="000000"/>
        </w:rPr>
        <w:pict w14:anchorId="39240FF7">
          <v:rect id="_x0000_i1027" alt="" style="width:398.75pt;height:.05pt;mso-width-percent:0;mso-height-percent:0;mso-width-percent:0;mso-height-percent:0" o:hrpct="852" o:hralign="center" o:hrstd="t" o:hr="t" fillcolor="#a0a0a0" stroked="f"/>
        </w:pict>
      </w:r>
    </w:p>
    <w:p w14:paraId="0ADB14F7" w14:textId="77777777" w:rsidR="00754E0C" w:rsidRDefault="00754E0C" w:rsidP="00754E0C">
      <w:pPr>
        <w:pStyle w:val="Heading4"/>
        <w:rPr>
          <w:color w:val="000000"/>
        </w:rPr>
      </w:pPr>
      <w:r>
        <w:rPr>
          <w:color w:val="000000"/>
        </w:rPr>
        <w:t>Card 3: Governance Design &amp; Control Standards</w:t>
      </w:r>
    </w:p>
    <w:p w14:paraId="11C00194" w14:textId="77777777" w:rsidR="00754E0C" w:rsidRDefault="00754E0C" w:rsidP="00754E0C">
      <w:pPr>
        <w:pStyle w:val="NormalWeb"/>
        <w:rPr>
          <w:color w:val="000000"/>
        </w:rPr>
      </w:pPr>
      <w:r>
        <w:rPr>
          <w:color w:val="000000"/>
        </w:rPr>
        <w:t>This step defines how SAM decisions will be made and enforced—including how renewals, true-ups, exceptions, and high-risk software categories are governed. It also establishes standards for tool outputs (data definitions, evidence expectations, and approval checkpoints) so dashboards and reports are decision-grade, not informational noise.</w:t>
      </w:r>
      <w:r>
        <w:rPr>
          <w:color w:val="000000"/>
        </w:rPr>
        <w:br/>
      </w:r>
      <w:r>
        <w:rPr>
          <w:rStyle w:val="Strong"/>
          <w:rFonts w:eastAsiaTheme="majorEastAsia"/>
          <w:color w:val="000000"/>
        </w:rPr>
        <w:t>Purpose</w:t>
      </w:r>
    </w:p>
    <w:p w14:paraId="0E0946F0" w14:textId="77777777" w:rsidR="00754E0C" w:rsidRDefault="00754E0C" w:rsidP="00754E0C">
      <w:pPr>
        <w:pStyle w:val="NormalWeb"/>
        <w:numPr>
          <w:ilvl w:val="0"/>
          <w:numId w:val="14"/>
        </w:numPr>
        <w:rPr>
          <w:color w:val="000000"/>
        </w:rPr>
      </w:pPr>
      <w:r>
        <w:rPr>
          <w:color w:val="000000"/>
        </w:rPr>
        <w:t>Define roles, decision rights, escalation paths, and oversight routines</w:t>
      </w:r>
    </w:p>
    <w:p w14:paraId="14F31332" w14:textId="77777777" w:rsidR="00754E0C" w:rsidRDefault="00754E0C" w:rsidP="00754E0C">
      <w:pPr>
        <w:pStyle w:val="NormalWeb"/>
        <w:numPr>
          <w:ilvl w:val="0"/>
          <w:numId w:val="14"/>
        </w:numPr>
        <w:rPr>
          <w:color w:val="000000"/>
        </w:rPr>
      </w:pPr>
      <w:r>
        <w:rPr>
          <w:color w:val="000000"/>
        </w:rPr>
        <w:t>Establish practical control standards and documentation expectations</w:t>
      </w:r>
    </w:p>
    <w:p w14:paraId="4C342CDF" w14:textId="77777777" w:rsidR="00754E0C" w:rsidRDefault="00754E0C" w:rsidP="00754E0C">
      <w:pPr>
        <w:pStyle w:val="NormalWeb"/>
        <w:numPr>
          <w:ilvl w:val="0"/>
          <w:numId w:val="14"/>
        </w:numPr>
        <w:rPr>
          <w:color w:val="000000"/>
        </w:rPr>
      </w:pPr>
      <w:r>
        <w:rPr>
          <w:color w:val="000000"/>
        </w:rPr>
        <w:t>Align governance to operating reality and scalability needs</w:t>
      </w:r>
    </w:p>
    <w:p w14:paraId="08AA3A56" w14:textId="77777777" w:rsidR="00754E0C" w:rsidRDefault="00754E0C" w:rsidP="00754E0C">
      <w:pPr>
        <w:pStyle w:val="NormalWeb"/>
        <w:rPr>
          <w:color w:val="000000"/>
        </w:rPr>
      </w:pPr>
      <w:r>
        <w:rPr>
          <w:rStyle w:val="Strong"/>
          <w:rFonts w:eastAsiaTheme="majorEastAsia"/>
          <w:color w:val="000000"/>
        </w:rPr>
        <w:t>Why It Matters</w:t>
      </w:r>
    </w:p>
    <w:p w14:paraId="058CA81F" w14:textId="77777777" w:rsidR="00754E0C" w:rsidRDefault="00754E0C" w:rsidP="00754E0C">
      <w:pPr>
        <w:pStyle w:val="NormalWeb"/>
        <w:numPr>
          <w:ilvl w:val="0"/>
          <w:numId w:val="15"/>
        </w:numPr>
        <w:rPr>
          <w:color w:val="000000"/>
        </w:rPr>
      </w:pPr>
      <w:r>
        <w:rPr>
          <w:color w:val="000000"/>
        </w:rPr>
        <w:t>Improves operational control and accountability</w:t>
      </w:r>
    </w:p>
    <w:p w14:paraId="001A6D8E" w14:textId="77777777" w:rsidR="00754E0C" w:rsidRDefault="00754E0C" w:rsidP="00754E0C">
      <w:pPr>
        <w:pStyle w:val="NormalWeb"/>
        <w:numPr>
          <w:ilvl w:val="0"/>
          <w:numId w:val="15"/>
        </w:numPr>
        <w:rPr>
          <w:color w:val="000000"/>
        </w:rPr>
      </w:pPr>
      <w:r>
        <w:rPr>
          <w:color w:val="000000"/>
        </w:rPr>
        <w:t>Strengthens predictability and consistency across teams and vendors</w:t>
      </w:r>
    </w:p>
    <w:p w14:paraId="10E98E38" w14:textId="77777777" w:rsidR="00754E0C" w:rsidRDefault="00754E0C" w:rsidP="00754E0C">
      <w:pPr>
        <w:pStyle w:val="NormalWeb"/>
        <w:numPr>
          <w:ilvl w:val="0"/>
          <w:numId w:val="15"/>
        </w:numPr>
        <w:rPr>
          <w:color w:val="000000"/>
        </w:rPr>
      </w:pPr>
      <w:r>
        <w:rPr>
          <w:color w:val="000000"/>
        </w:rPr>
        <w:t>Supports scalable governance as complexity increases</w:t>
      </w:r>
    </w:p>
    <w:p w14:paraId="6B01C592" w14:textId="77777777" w:rsidR="00754E0C" w:rsidRDefault="00754E0C" w:rsidP="00754E0C">
      <w:pPr>
        <w:pStyle w:val="NormalWeb"/>
        <w:rPr>
          <w:color w:val="000000"/>
        </w:rPr>
      </w:pPr>
      <w:r>
        <w:rPr>
          <w:rStyle w:val="Strong"/>
          <w:rFonts w:eastAsiaTheme="majorEastAsia"/>
          <w:color w:val="000000"/>
        </w:rPr>
        <w:t>Optional Framework Reference</w:t>
      </w:r>
    </w:p>
    <w:p w14:paraId="3E056855" w14:textId="77777777" w:rsidR="00754E0C" w:rsidRDefault="00754E0C" w:rsidP="00754E0C">
      <w:pPr>
        <w:pStyle w:val="NormalWeb"/>
        <w:numPr>
          <w:ilvl w:val="0"/>
          <w:numId w:val="16"/>
        </w:numPr>
        <w:rPr>
          <w:color w:val="000000"/>
        </w:rPr>
      </w:pPr>
      <w:r>
        <w:rPr>
          <w:color w:val="000000"/>
        </w:rPr>
        <w:t>ISO/IEC 19770-aligned software asset management practices to strengthen license compliance and audit readiness</w:t>
      </w:r>
    </w:p>
    <w:p w14:paraId="70805F51" w14:textId="77777777" w:rsidR="00754E0C" w:rsidRDefault="00FC63AB" w:rsidP="00754E0C">
      <w:pPr>
        <w:rPr>
          <w:color w:val="000000"/>
        </w:rPr>
      </w:pPr>
      <w:r>
        <w:rPr>
          <w:noProof/>
          <w:color w:val="000000"/>
        </w:rPr>
        <w:pict w14:anchorId="3155979C">
          <v:rect id="_x0000_i1026" alt="" style="width:398.75pt;height:.05pt;mso-width-percent:0;mso-height-percent:0;mso-width-percent:0;mso-height-percent:0" o:hrpct="852" o:hralign="center" o:hrstd="t" o:hr="t" fillcolor="#a0a0a0" stroked="f"/>
        </w:pict>
      </w:r>
    </w:p>
    <w:p w14:paraId="07D5897C" w14:textId="77777777" w:rsidR="00754E0C" w:rsidRDefault="00754E0C" w:rsidP="00754E0C">
      <w:pPr>
        <w:pStyle w:val="Heading4"/>
        <w:rPr>
          <w:color w:val="000000"/>
        </w:rPr>
      </w:pPr>
      <w:r>
        <w:rPr>
          <w:color w:val="000000"/>
        </w:rPr>
        <w:t>Card 4: Tooling Strategy, Selection Support &amp; Tool-Risk Controls</w:t>
      </w:r>
    </w:p>
    <w:p w14:paraId="26081278" w14:textId="77777777" w:rsidR="00754E0C" w:rsidRDefault="00754E0C" w:rsidP="00754E0C">
      <w:pPr>
        <w:pStyle w:val="NormalWeb"/>
        <w:rPr>
          <w:color w:val="000000"/>
        </w:rPr>
      </w:pPr>
      <w:r>
        <w:rPr>
          <w:color w:val="000000"/>
        </w:rPr>
        <w:t xml:space="preserve">This step ensures tool choices reflect the organization’s environment (cloud/on-prem, identity stack, procurement workflow, and vendor landscape) rather than defaulting to </w:t>
      </w:r>
      <w:r>
        <w:rPr>
          <w:color w:val="000000"/>
        </w:rPr>
        <w:lastRenderedPageBreak/>
        <w:t>feature lists. It also manages tool-related risk by defining how data is validated, who can administer rules, how integrations are governed, and how results are challenged before they drive financial or compliance decisions.</w:t>
      </w:r>
      <w:r>
        <w:rPr>
          <w:color w:val="000000"/>
        </w:rPr>
        <w:br/>
      </w:r>
      <w:r>
        <w:rPr>
          <w:rStyle w:val="Strong"/>
          <w:rFonts w:eastAsiaTheme="majorEastAsia"/>
          <w:color w:val="000000"/>
        </w:rPr>
        <w:t>Purpose</w:t>
      </w:r>
    </w:p>
    <w:p w14:paraId="1EB956D2" w14:textId="77777777" w:rsidR="00754E0C" w:rsidRDefault="00754E0C" w:rsidP="00754E0C">
      <w:pPr>
        <w:pStyle w:val="NormalWeb"/>
        <w:numPr>
          <w:ilvl w:val="0"/>
          <w:numId w:val="17"/>
        </w:numPr>
        <w:rPr>
          <w:color w:val="000000"/>
        </w:rPr>
      </w:pPr>
      <w:r>
        <w:rPr>
          <w:color w:val="000000"/>
        </w:rPr>
        <w:t>Define selection criteria based on governance needs, data coverage, and audit defensibility</w:t>
      </w:r>
    </w:p>
    <w:p w14:paraId="474465DE" w14:textId="77777777" w:rsidR="00754E0C" w:rsidRDefault="00754E0C" w:rsidP="00754E0C">
      <w:pPr>
        <w:pStyle w:val="NormalWeb"/>
        <w:numPr>
          <w:ilvl w:val="0"/>
          <w:numId w:val="17"/>
        </w:numPr>
        <w:rPr>
          <w:color w:val="000000"/>
        </w:rPr>
      </w:pPr>
      <w:r>
        <w:rPr>
          <w:color w:val="000000"/>
        </w:rPr>
        <w:t>Evaluate tools for inventory accuracy, entitlement logic, integration reliability, and access controls</w:t>
      </w:r>
    </w:p>
    <w:p w14:paraId="2604DC9A" w14:textId="77777777" w:rsidR="00754E0C" w:rsidRDefault="00754E0C" w:rsidP="00754E0C">
      <w:pPr>
        <w:pStyle w:val="NormalWeb"/>
        <w:numPr>
          <w:ilvl w:val="0"/>
          <w:numId w:val="17"/>
        </w:numPr>
        <w:rPr>
          <w:color w:val="000000"/>
        </w:rPr>
      </w:pPr>
      <w:r>
        <w:rPr>
          <w:color w:val="000000"/>
        </w:rPr>
        <w:t>Establish implementation guardrails so tools operate within the SAM governance framework</w:t>
      </w:r>
    </w:p>
    <w:p w14:paraId="238FC974" w14:textId="77777777" w:rsidR="00754E0C" w:rsidRDefault="00754E0C" w:rsidP="00754E0C">
      <w:pPr>
        <w:pStyle w:val="NormalWeb"/>
        <w:rPr>
          <w:color w:val="000000"/>
        </w:rPr>
      </w:pPr>
      <w:r>
        <w:rPr>
          <w:rStyle w:val="Strong"/>
          <w:rFonts w:eastAsiaTheme="majorEastAsia"/>
          <w:color w:val="000000"/>
        </w:rPr>
        <w:t>Why It Matters</w:t>
      </w:r>
    </w:p>
    <w:p w14:paraId="5E3021E2" w14:textId="77777777" w:rsidR="00754E0C" w:rsidRDefault="00754E0C" w:rsidP="00754E0C">
      <w:pPr>
        <w:pStyle w:val="NormalWeb"/>
        <w:numPr>
          <w:ilvl w:val="0"/>
          <w:numId w:val="18"/>
        </w:numPr>
        <w:rPr>
          <w:color w:val="000000"/>
        </w:rPr>
      </w:pPr>
      <w:r>
        <w:rPr>
          <w:color w:val="000000"/>
        </w:rPr>
        <w:t>Reduces the risk of over-reliance on inaccurate or incomplete tool outputs</w:t>
      </w:r>
    </w:p>
    <w:p w14:paraId="7790C486" w14:textId="77777777" w:rsidR="00754E0C" w:rsidRDefault="00754E0C" w:rsidP="00754E0C">
      <w:pPr>
        <w:pStyle w:val="NormalWeb"/>
        <w:numPr>
          <w:ilvl w:val="0"/>
          <w:numId w:val="18"/>
        </w:numPr>
        <w:rPr>
          <w:color w:val="000000"/>
        </w:rPr>
      </w:pPr>
      <w:r>
        <w:rPr>
          <w:color w:val="000000"/>
        </w:rPr>
        <w:t>Improves ROI by aligning tooling to measurable SAM outcomes and control needs</w:t>
      </w:r>
    </w:p>
    <w:p w14:paraId="07D03854" w14:textId="77777777" w:rsidR="00754E0C" w:rsidRDefault="00754E0C" w:rsidP="00754E0C">
      <w:pPr>
        <w:pStyle w:val="NormalWeb"/>
        <w:numPr>
          <w:ilvl w:val="0"/>
          <w:numId w:val="18"/>
        </w:numPr>
        <w:rPr>
          <w:color w:val="000000"/>
        </w:rPr>
      </w:pPr>
      <w:r>
        <w:rPr>
          <w:color w:val="000000"/>
        </w:rPr>
        <w:t>Strengthens audit defensibility through consistent, governed evidence generation</w:t>
      </w:r>
    </w:p>
    <w:p w14:paraId="5A0D945A" w14:textId="77777777" w:rsidR="00754E0C" w:rsidRDefault="00FC63AB" w:rsidP="00754E0C">
      <w:pPr>
        <w:rPr>
          <w:color w:val="000000"/>
        </w:rPr>
      </w:pPr>
      <w:r>
        <w:rPr>
          <w:noProof/>
          <w:color w:val="000000"/>
        </w:rPr>
        <w:pict w14:anchorId="6D1CD5BE">
          <v:rect id="_x0000_i1025" alt="" style="width:398.75pt;height:.05pt;mso-width-percent:0;mso-height-percent:0;mso-width-percent:0;mso-height-percent:0" o:hrpct="852" o:hralign="center" o:hrstd="t" o:hr="t" fillcolor="#a0a0a0" stroked="f"/>
        </w:pict>
      </w:r>
    </w:p>
    <w:p w14:paraId="5601367B" w14:textId="77777777" w:rsidR="00754E0C" w:rsidRDefault="00754E0C" w:rsidP="00754E0C">
      <w:pPr>
        <w:pStyle w:val="Heading4"/>
        <w:rPr>
          <w:color w:val="000000"/>
        </w:rPr>
      </w:pPr>
      <w:r>
        <w:rPr>
          <w:color w:val="000000"/>
        </w:rPr>
        <w:t>Card 5: Operating Discipline &amp; Monitoring</w:t>
      </w:r>
    </w:p>
    <w:p w14:paraId="0793FB35" w14:textId="77777777" w:rsidR="00754E0C" w:rsidRDefault="00754E0C" w:rsidP="00754E0C">
      <w:pPr>
        <w:pStyle w:val="NormalWeb"/>
        <w:rPr>
          <w:color w:val="000000"/>
        </w:rPr>
      </w:pPr>
      <w:r>
        <w:rPr>
          <w:color w:val="000000"/>
        </w:rPr>
        <w:t>This step turns SAM into a repeatable operating rhythm—so approvals, renewals, and exceptions follow consistent controls instead of urgency-driven decisions. It also builds a monitoring cadence that flags drift early (usage spikes, shadow IT, contract misalignment, renewal risks) before they become audit findings or cost shocks.</w:t>
      </w:r>
      <w:r>
        <w:rPr>
          <w:color w:val="000000"/>
        </w:rPr>
        <w:br/>
      </w:r>
      <w:r>
        <w:rPr>
          <w:rStyle w:val="Strong"/>
          <w:rFonts w:eastAsiaTheme="majorEastAsia"/>
          <w:color w:val="000000"/>
        </w:rPr>
        <w:t>Purpose</w:t>
      </w:r>
    </w:p>
    <w:p w14:paraId="5318D0A8" w14:textId="77777777" w:rsidR="00754E0C" w:rsidRDefault="00754E0C" w:rsidP="00754E0C">
      <w:pPr>
        <w:pStyle w:val="NormalWeb"/>
        <w:numPr>
          <w:ilvl w:val="0"/>
          <w:numId w:val="19"/>
        </w:numPr>
        <w:rPr>
          <w:color w:val="000000"/>
        </w:rPr>
      </w:pPr>
      <w:r>
        <w:rPr>
          <w:color w:val="000000"/>
        </w:rPr>
        <w:t>Define repeatable workflows for approvals, changes, and exceptions</w:t>
      </w:r>
    </w:p>
    <w:p w14:paraId="7A09A3E8" w14:textId="77777777" w:rsidR="00754E0C" w:rsidRDefault="00754E0C" w:rsidP="00754E0C">
      <w:pPr>
        <w:pStyle w:val="NormalWeb"/>
        <w:numPr>
          <w:ilvl w:val="0"/>
          <w:numId w:val="19"/>
        </w:numPr>
        <w:rPr>
          <w:color w:val="000000"/>
        </w:rPr>
      </w:pPr>
      <w:r>
        <w:rPr>
          <w:color w:val="000000"/>
        </w:rPr>
        <w:t>Establish monitoring metrics and reporting cadence</w:t>
      </w:r>
    </w:p>
    <w:p w14:paraId="5EE1E42E" w14:textId="77777777" w:rsidR="00754E0C" w:rsidRDefault="00754E0C" w:rsidP="00754E0C">
      <w:pPr>
        <w:pStyle w:val="NormalWeb"/>
        <w:numPr>
          <w:ilvl w:val="0"/>
          <w:numId w:val="19"/>
        </w:numPr>
        <w:rPr>
          <w:color w:val="000000"/>
        </w:rPr>
      </w:pPr>
      <w:r>
        <w:rPr>
          <w:color w:val="000000"/>
        </w:rPr>
        <w:t>Create a controlled mechanism for continuous refinement</w:t>
      </w:r>
    </w:p>
    <w:p w14:paraId="1AFB9DF1" w14:textId="77777777" w:rsidR="00754E0C" w:rsidRDefault="00754E0C" w:rsidP="00754E0C">
      <w:pPr>
        <w:pStyle w:val="NormalWeb"/>
        <w:rPr>
          <w:color w:val="000000"/>
        </w:rPr>
      </w:pPr>
      <w:r>
        <w:rPr>
          <w:rStyle w:val="Strong"/>
          <w:rFonts w:eastAsiaTheme="majorEastAsia"/>
          <w:color w:val="000000"/>
        </w:rPr>
        <w:t>Why It Matters</w:t>
      </w:r>
    </w:p>
    <w:p w14:paraId="41E6E93D" w14:textId="77777777" w:rsidR="00754E0C" w:rsidRDefault="00754E0C" w:rsidP="00754E0C">
      <w:pPr>
        <w:pStyle w:val="NormalWeb"/>
        <w:numPr>
          <w:ilvl w:val="0"/>
          <w:numId w:val="20"/>
        </w:numPr>
        <w:rPr>
          <w:color w:val="000000"/>
        </w:rPr>
      </w:pPr>
      <w:r>
        <w:rPr>
          <w:color w:val="000000"/>
        </w:rPr>
        <w:t>Prevents governance drift and control decay over time</w:t>
      </w:r>
    </w:p>
    <w:p w14:paraId="528E95F6" w14:textId="77777777" w:rsidR="00754E0C" w:rsidRDefault="00754E0C" w:rsidP="00754E0C">
      <w:pPr>
        <w:pStyle w:val="NormalWeb"/>
        <w:numPr>
          <w:ilvl w:val="0"/>
          <w:numId w:val="20"/>
        </w:numPr>
        <w:rPr>
          <w:color w:val="000000"/>
        </w:rPr>
      </w:pPr>
      <w:r>
        <w:rPr>
          <w:color w:val="000000"/>
        </w:rPr>
        <w:t>Improves reliability and reduces disruption risk</w:t>
      </w:r>
    </w:p>
    <w:p w14:paraId="431BDF2D" w14:textId="77777777" w:rsidR="00754E0C" w:rsidRDefault="00754E0C" w:rsidP="00754E0C">
      <w:pPr>
        <w:pStyle w:val="NormalWeb"/>
        <w:numPr>
          <w:ilvl w:val="0"/>
          <w:numId w:val="20"/>
        </w:numPr>
        <w:rPr>
          <w:color w:val="000000"/>
        </w:rPr>
      </w:pPr>
      <w:r>
        <w:rPr>
          <w:color w:val="000000"/>
        </w:rPr>
        <w:t>Creates measurable oversight for stakeholder confidence</w:t>
      </w:r>
    </w:p>
    <w:p w14:paraId="1F4D8EE7" w14:textId="4925BA71" w:rsidR="00754E0C" w:rsidRDefault="00754E0C" w:rsidP="00754E0C">
      <w:pPr>
        <w:rPr>
          <w:color w:val="000000"/>
        </w:rPr>
      </w:pPr>
    </w:p>
    <w:sectPr w:rsidR="00754E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6091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F0A18"/>
    <w:multiLevelType w:val="multilevel"/>
    <w:tmpl w:val="B7E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50CDB"/>
    <w:multiLevelType w:val="multilevel"/>
    <w:tmpl w:val="D0F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A3F96"/>
    <w:multiLevelType w:val="multilevel"/>
    <w:tmpl w:val="1FD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76618"/>
    <w:multiLevelType w:val="multilevel"/>
    <w:tmpl w:val="001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148C2"/>
    <w:multiLevelType w:val="multilevel"/>
    <w:tmpl w:val="20AA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42B16"/>
    <w:multiLevelType w:val="multilevel"/>
    <w:tmpl w:val="653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0776E"/>
    <w:multiLevelType w:val="multilevel"/>
    <w:tmpl w:val="EE6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A72F9"/>
    <w:multiLevelType w:val="multilevel"/>
    <w:tmpl w:val="2A12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A2917"/>
    <w:multiLevelType w:val="multilevel"/>
    <w:tmpl w:val="3D9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24FBB"/>
    <w:multiLevelType w:val="multilevel"/>
    <w:tmpl w:val="E80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B02B2"/>
    <w:multiLevelType w:val="multilevel"/>
    <w:tmpl w:val="376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274C6"/>
    <w:multiLevelType w:val="multilevel"/>
    <w:tmpl w:val="32D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63111">
    <w:abstractNumId w:val="8"/>
  </w:num>
  <w:num w:numId="2" w16cid:durableId="1210218599">
    <w:abstractNumId w:val="6"/>
  </w:num>
  <w:num w:numId="3" w16cid:durableId="1296906052">
    <w:abstractNumId w:val="5"/>
  </w:num>
  <w:num w:numId="4" w16cid:durableId="1595892323">
    <w:abstractNumId w:val="4"/>
  </w:num>
  <w:num w:numId="5" w16cid:durableId="1318534838">
    <w:abstractNumId w:val="7"/>
  </w:num>
  <w:num w:numId="6" w16cid:durableId="1613510914">
    <w:abstractNumId w:val="3"/>
  </w:num>
  <w:num w:numId="7" w16cid:durableId="636185538">
    <w:abstractNumId w:val="2"/>
  </w:num>
  <w:num w:numId="8" w16cid:durableId="735011489">
    <w:abstractNumId w:val="1"/>
  </w:num>
  <w:num w:numId="9" w16cid:durableId="104693397">
    <w:abstractNumId w:val="0"/>
  </w:num>
  <w:num w:numId="10" w16cid:durableId="263929233">
    <w:abstractNumId w:val="14"/>
  </w:num>
  <w:num w:numId="11" w16cid:durableId="649479619">
    <w:abstractNumId w:val="12"/>
  </w:num>
  <w:num w:numId="12" w16cid:durableId="54402247">
    <w:abstractNumId w:val="9"/>
  </w:num>
  <w:num w:numId="13" w16cid:durableId="1499153927">
    <w:abstractNumId w:val="13"/>
  </w:num>
  <w:num w:numId="14" w16cid:durableId="2048750534">
    <w:abstractNumId w:val="16"/>
  </w:num>
  <w:num w:numId="15" w16cid:durableId="550383664">
    <w:abstractNumId w:val="15"/>
  </w:num>
  <w:num w:numId="16" w16cid:durableId="1615288624">
    <w:abstractNumId w:val="18"/>
  </w:num>
  <w:num w:numId="17" w16cid:durableId="1457718271">
    <w:abstractNumId w:val="17"/>
  </w:num>
  <w:num w:numId="18" w16cid:durableId="1735927754">
    <w:abstractNumId w:val="19"/>
  </w:num>
  <w:num w:numId="19" w16cid:durableId="1640646173">
    <w:abstractNumId w:val="11"/>
  </w:num>
  <w:num w:numId="20" w16cid:durableId="820931177">
    <w:abstractNumId w:val="10"/>
  </w:num>
  <w:num w:numId="21" w16cid:durableId="6571559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C43"/>
    <w:rsid w:val="00754E0C"/>
    <w:rsid w:val="00AA1D8D"/>
    <w:rsid w:val="00B47730"/>
    <w:rsid w:val="00CA0C47"/>
    <w:rsid w:val="00CB0664"/>
    <w:rsid w:val="00CD6F65"/>
    <w:rsid w:val="00F618EC"/>
    <w:rsid w:val="00FC6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2247A"/>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4E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4E0C"/>
  </w:style>
  <w:style w:type="paragraph" w:styleId="z-TopofForm">
    <w:name w:val="HTML Top of Form"/>
    <w:basedOn w:val="Normal"/>
    <w:next w:val="Normal"/>
    <w:link w:val="z-TopofFormChar"/>
    <w:hidden/>
    <w:uiPriority w:val="99"/>
    <w:semiHidden/>
    <w:unhideWhenUsed/>
    <w:rsid w:val="00754E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4E0C"/>
    <w:rPr>
      <w:rFonts w:ascii="Arial" w:eastAsia="Times New Roman" w:hAnsi="Arial" w:cs="Arial"/>
      <w:vanish/>
      <w:sz w:val="16"/>
      <w:szCs w:val="16"/>
    </w:rPr>
  </w:style>
  <w:style w:type="paragraph" w:customStyle="1" w:styleId="placeholder">
    <w:name w:val="placeholder"/>
    <w:basedOn w:val="Normal"/>
    <w:rsid w:val="00754E0C"/>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54E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4E0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661</Words>
  <Characters>4559</Characters>
  <Application>Microsoft Office Word</Application>
  <DocSecurity>0</DocSecurity>
  <Lines>99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2026-02-01T19:13:00Z</dcterms:modified>
  <cp:category/>
</cp:coreProperties>
</file>