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60123" w14:textId="77777777" w:rsidR="00FE1568" w:rsidRDefault="00FE1568" w:rsidP="00FE1568">
      <w:pPr>
        <w:pStyle w:val="Heading2"/>
        <w:rPr>
          <w:color w:val="000000"/>
        </w:rPr>
      </w:pPr>
      <w:r>
        <w:rPr>
          <w:color w:val="000000"/>
        </w:rPr>
        <w:t>Restaurant Accounting Services</w:t>
      </w:r>
    </w:p>
    <w:p w14:paraId="69C67A6C" w14:textId="77777777" w:rsidR="00FE1568" w:rsidRDefault="00FE1568" w:rsidP="00FE1568">
      <w:pPr>
        <w:pStyle w:val="Heading3"/>
        <w:rPr>
          <w:color w:val="000000"/>
        </w:rPr>
      </w:pPr>
      <w:r>
        <w:rPr>
          <w:color w:val="000000"/>
        </w:rPr>
        <w:t>Service Summary (3–5 Sentences)</w:t>
      </w:r>
    </w:p>
    <w:p w14:paraId="7E5371D9" w14:textId="77777777" w:rsidR="00FE1568" w:rsidRDefault="00FE1568" w:rsidP="00FE1568">
      <w:pPr>
        <w:pStyle w:val="NormalWeb"/>
        <w:rPr>
          <w:color w:val="000000"/>
        </w:rPr>
      </w:pPr>
      <w:r>
        <w:rPr>
          <w:color w:val="000000"/>
        </w:rPr>
        <w:t>Restaurant Accounting Services provides industry-aware accounting, tax, and reporting discipline designed to improve margin visibility, cash control, and compliance reliability. Restaurant and food service operations often face operational complexity that creates reporting delays, weak controls, and limited decision confidence when financial processes are not structured. Quantum delivers a governance-first, control-driven approach grounded in</w:t>
      </w:r>
      <w:r>
        <w:rPr>
          <w:rStyle w:val="apple-converted-space"/>
          <w:color w:val="000000"/>
        </w:rPr>
        <w:t> </w:t>
      </w:r>
      <w:r>
        <w:rPr>
          <w:rStyle w:val="Strong"/>
          <w:rFonts w:eastAsiaTheme="majorEastAsia"/>
          <w:color w:val="000000"/>
        </w:rPr>
        <w:t>Clarity, Consistency, Compliance, Communication, Control, and Comprehensiveness</w:t>
      </w:r>
      <w:r>
        <w:rPr>
          <w:color w:val="000000"/>
        </w:rPr>
        <w:t>, translating daily activity into consistent, audit-ready reporting. The outcome is clearer profitability insight, stronger operational control, and stakeholder-ready financial credibility.</w:t>
      </w:r>
    </w:p>
    <w:p w14:paraId="62439242" w14:textId="77777777" w:rsidR="00FE1568" w:rsidRDefault="00572D79" w:rsidP="00FE1568">
      <w:r>
        <w:rPr>
          <w:noProof/>
        </w:rPr>
        <w:pict w14:anchorId="149F655B">
          <v:rect id="_x0000_i1030" alt="" style="width:431.95pt;height:.05pt;mso-width-percent:0;mso-height-percent:0;mso-width-percent:0;mso-height-percent:0" o:hrpct="923" o:hralign="center" o:hrstd="t" o:hr="t" fillcolor="#a0a0a0" stroked="f"/>
        </w:pict>
      </w:r>
    </w:p>
    <w:p w14:paraId="554ED48D" w14:textId="77777777" w:rsidR="00FE1568" w:rsidRDefault="00FE1568" w:rsidP="00FE1568">
      <w:pPr>
        <w:pStyle w:val="Heading3"/>
        <w:rPr>
          <w:color w:val="000000"/>
        </w:rPr>
      </w:pPr>
      <w:r>
        <w:rPr>
          <w:color w:val="000000"/>
        </w:rPr>
        <w:t>Service Cards (Website Tiles)</w:t>
      </w:r>
    </w:p>
    <w:p w14:paraId="4C3D189D" w14:textId="77777777" w:rsidR="00FE1568" w:rsidRDefault="00FE1568" w:rsidP="00FE1568">
      <w:pPr>
        <w:pStyle w:val="Heading4"/>
        <w:rPr>
          <w:color w:val="000000"/>
        </w:rPr>
      </w:pPr>
      <w:r>
        <w:rPr>
          <w:color w:val="000000"/>
        </w:rPr>
        <w:t>Card 1: Operating &amp; Financial Discovery</w:t>
      </w:r>
    </w:p>
    <w:p w14:paraId="5EE60E62" w14:textId="77777777" w:rsidR="00FE1568" w:rsidRDefault="00FE1568" w:rsidP="00FE1568">
      <w:pPr>
        <w:pStyle w:val="NormalWeb"/>
        <w:rPr>
          <w:color w:val="000000"/>
        </w:rPr>
      </w:pPr>
      <w:r>
        <w:rPr>
          <w:color w:val="000000"/>
        </w:rPr>
        <w:t>This step maps how money moves through the restaurant—from order to settlement—including the financial impact of tips, discounts, refunds, and third-party delivery fees. It also identifies where operational decisions (menu, labor scheduling, waste controls) most directly influence margin and cash outcomes.</w:t>
      </w:r>
      <w:r>
        <w:rPr>
          <w:color w:val="000000"/>
        </w:rPr>
        <w:br/>
      </w:r>
      <w:r>
        <w:rPr>
          <w:rStyle w:val="Strong"/>
          <w:rFonts w:eastAsiaTheme="majorEastAsia"/>
          <w:color w:val="000000"/>
        </w:rPr>
        <w:t>Purpose</w:t>
      </w:r>
    </w:p>
    <w:p w14:paraId="3AC2AD27" w14:textId="77777777" w:rsidR="00FE1568" w:rsidRDefault="00FE1568" w:rsidP="00FE1568">
      <w:pPr>
        <w:pStyle w:val="NormalWeb"/>
        <w:numPr>
          <w:ilvl w:val="0"/>
          <w:numId w:val="10"/>
        </w:numPr>
        <w:rPr>
          <w:color w:val="000000"/>
        </w:rPr>
      </w:pPr>
      <w:r>
        <w:rPr>
          <w:color w:val="000000"/>
        </w:rPr>
        <w:t>Understand the operating model, revenue drivers, cost structure, and reporting needs</w:t>
      </w:r>
    </w:p>
    <w:p w14:paraId="59798C0E" w14:textId="77777777" w:rsidR="00FE1568" w:rsidRDefault="00FE1568" w:rsidP="00FE1568">
      <w:pPr>
        <w:pStyle w:val="NormalWeb"/>
        <w:numPr>
          <w:ilvl w:val="0"/>
          <w:numId w:val="10"/>
        </w:numPr>
        <w:rPr>
          <w:color w:val="000000"/>
        </w:rPr>
      </w:pPr>
      <w:r>
        <w:rPr>
          <w:color w:val="000000"/>
        </w:rPr>
        <w:t>Identify key risk areas, control gaps, and data sources that impact accuracy</w:t>
      </w:r>
    </w:p>
    <w:p w14:paraId="26FEDB97" w14:textId="77777777" w:rsidR="00FE1568" w:rsidRDefault="00FE1568" w:rsidP="00FE1568">
      <w:pPr>
        <w:pStyle w:val="NormalWeb"/>
        <w:numPr>
          <w:ilvl w:val="0"/>
          <w:numId w:val="10"/>
        </w:numPr>
        <w:rPr>
          <w:color w:val="000000"/>
        </w:rPr>
      </w:pPr>
      <w:r>
        <w:rPr>
          <w:color w:val="000000"/>
        </w:rPr>
        <w:t>Define scope, cadence, and responsibilities for consistent execution</w:t>
      </w:r>
    </w:p>
    <w:p w14:paraId="1A3AF5EB" w14:textId="77777777" w:rsidR="00FE1568" w:rsidRDefault="00FE1568" w:rsidP="00FE1568">
      <w:pPr>
        <w:pStyle w:val="NormalWeb"/>
        <w:rPr>
          <w:color w:val="000000"/>
        </w:rPr>
      </w:pPr>
      <w:r>
        <w:rPr>
          <w:rStyle w:val="Strong"/>
          <w:rFonts w:eastAsiaTheme="majorEastAsia"/>
          <w:color w:val="000000"/>
        </w:rPr>
        <w:t>Why It Matters</w:t>
      </w:r>
    </w:p>
    <w:p w14:paraId="62F8E57A" w14:textId="77777777" w:rsidR="00FE1568" w:rsidRDefault="00FE1568" w:rsidP="00FE1568">
      <w:pPr>
        <w:pStyle w:val="NormalWeb"/>
        <w:numPr>
          <w:ilvl w:val="0"/>
          <w:numId w:val="11"/>
        </w:numPr>
        <w:rPr>
          <w:color w:val="000000"/>
        </w:rPr>
      </w:pPr>
      <w:r>
        <w:rPr>
          <w:color w:val="000000"/>
        </w:rPr>
        <w:t>Improves clarity and reduces misalignment early</w:t>
      </w:r>
    </w:p>
    <w:p w14:paraId="01886080" w14:textId="77777777" w:rsidR="00FE1568" w:rsidRDefault="00FE1568" w:rsidP="00FE1568">
      <w:pPr>
        <w:pStyle w:val="NormalWeb"/>
        <w:numPr>
          <w:ilvl w:val="0"/>
          <w:numId w:val="11"/>
        </w:numPr>
        <w:rPr>
          <w:color w:val="000000"/>
        </w:rPr>
      </w:pPr>
      <w:r>
        <w:rPr>
          <w:color w:val="000000"/>
        </w:rPr>
        <w:t>Prevents recurring errors caused by incomplete context</w:t>
      </w:r>
    </w:p>
    <w:p w14:paraId="67EAC68B" w14:textId="77777777" w:rsidR="00FE1568" w:rsidRDefault="00FE1568" w:rsidP="00FE1568">
      <w:pPr>
        <w:pStyle w:val="NormalWeb"/>
        <w:numPr>
          <w:ilvl w:val="0"/>
          <w:numId w:val="11"/>
        </w:numPr>
        <w:rPr>
          <w:color w:val="000000"/>
        </w:rPr>
      </w:pPr>
      <w:r>
        <w:rPr>
          <w:color w:val="000000"/>
        </w:rPr>
        <w:t>Creates a controlled foundation for reliable reporting</w:t>
      </w:r>
    </w:p>
    <w:p w14:paraId="34CFBD9B" w14:textId="77777777" w:rsidR="00FE1568" w:rsidRDefault="00572D79" w:rsidP="00FE1568">
      <w:r>
        <w:rPr>
          <w:noProof/>
        </w:rPr>
        <w:pict w14:anchorId="09590120">
          <v:rect id="_x0000_i1029" alt="" style="width:431.95pt;height:.05pt;mso-width-percent:0;mso-height-percent:0;mso-width-percent:0;mso-height-percent:0" o:hrpct="923" o:hralign="center" o:hrstd="t" o:hr="t" fillcolor="#a0a0a0" stroked="f"/>
        </w:pict>
      </w:r>
    </w:p>
    <w:p w14:paraId="20A9B2F6" w14:textId="77777777" w:rsidR="00FE1568" w:rsidRDefault="00FE1568" w:rsidP="00FE1568">
      <w:pPr>
        <w:pStyle w:val="Heading4"/>
        <w:rPr>
          <w:color w:val="000000"/>
        </w:rPr>
      </w:pPr>
      <w:r>
        <w:rPr>
          <w:color w:val="000000"/>
        </w:rPr>
        <w:t>Card 2: Accounting Framework &amp; Reporting Structure</w:t>
      </w:r>
    </w:p>
    <w:p w14:paraId="29433E11" w14:textId="77777777" w:rsidR="00FE1568" w:rsidRDefault="00FE1568" w:rsidP="00FE1568">
      <w:pPr>
        <w:pStyle w:val="NormalWeb"/>
        <w:rPr>
          <w:color w:val="000000"/>
        </w:rPr>
      </w:pPr>
      <w:r>
        <w:rPr>
          <w:color w:val="000000"/>
        </w:rPr>
        <w:t>This step establishes consistent financial definitions for restaurant-specific activity such as comps, voids, tips, service charges, gift cards, and delivery marketplace commissions. It also ensures reporting can support location-, menu-, and daypart-level insights without requiring manual reclassification each period.</w:t>
      </w:r>
      <w:r>
        <w:rPr>
          <w:color w:val="000000"/>
        </w:rPr>
        <w:br/>
      </w:r>
      <w:r>
        <w:rPr>
          <w:rStyle w:val="Strong"/>
          <w:rFonts w:eastAsiaTheme="majorEastAsia"/>
          <w:color w:val="000000"/>
        </w:rPr>
        <w:t>Purpose</w:t>
      </w:r>
    </w:p>
    <w:p w14:paraId="13B0DC95" w14:textId="77777777" w:rsidR="00FE1568" w:rsidRDefault="00FE1568" w:rsidP="00FE1568">
      <w:pPr>
        <w:pStyle w:val="NormalWeb"/>
        <w:numPr>
          <w:ilvl w:val="0"/>
          <w:numId w:val="12"/>
        </w:numPr>
        <w:rPr>
          <w:color w:val="000000"/>
        </w:rPr>
      </w:pPr>
      <w:r>
        <w:rPr>
          <w:color w:val="000000"/>
        </w:rPr>
        <w:lastRenderedPageBreak/>
        <w:t>Design or refine the chart of accounts and reporting structure to match operations</w:t>
      </w:r>
    </w:p>
    <w:p w14:paraId="030B01C5" w14:textId="77777777" w:rsidR="00FE1568" w:rsidRDefault="00FE1568" w:rsidP="00FE1568">
      <w:pPr>
        <w:pStyle w:val="NormalWeb"/>
        <w:numPr>
          <w:ilvl w:val="0"/>
          <w:numId w:val="12"/>
        </w:numPr>
        <w:rPr>
          <w:color w:val="000000"/>
        </w:rPr>
      </w:pPr>
      <w:r>
        <w:rPr>
          <w:color w:val="000000"/>
        </w:rPr>
        <w:t>Define classification rules and documentation standards for consistency</w:t>
      </w:r>
    </w:p>
    <w:p w14:paraId="584F9A89" w14:textId="77777777" w:rsidR="00FE1568" w:rsidRDefault="00FE1568" w:rsidP="00FE1568">
      <w:pPr>
        <w:pStyle w:val="NormalWeb"/>
        <w:numPr>
          <w:ilvl w:val="0"/>
          <w:numId w:val="12"/>
        </w:numPr>
        <w:rPr>
          <w:color w:val="000000"/>
        </w:rPr>
      </w:pPr>
      <w:r>
        <w:rPr>
          <w:color w:val="000000"/>
        </w:rPr>
        <w:t>Align structure to support scale and stakeholder expectations</w:t>
      </w:r>
    </w:p>
    <w:p w14:paraId="00E86DEA" w14:textId="77777777" w:rsidR="00FE1568" w:rsidRDefault="00FE1568" w:rsidP="00FE1568">
      <w:pPr>
        <w:pStyle w:val="NormalWeb"/>
        <w:rPr>
          <w:color w:val="000000"/>
        </w:rPr>
      </w:pPr>
      <w:r>
        <w:rPr>
          <w:rStyle w:val="Strong"/>
          <w:rFonts w:eastAsiaTheme="majorEastAsia"/>
          <w:color w:val="000000"/>
        </w:rPr>
        <w:t>Why It Matters</w:t>
      </w:r>
    </w:p>
    <w:p w14:paraId="6FCD62F3" w14:textId="77777777" w:rsidR="00FE1568" w:rsidRDefault="00FE1568" w:rsidP="00FE1568">
      <w:pPr>
        <w:pStyle w:val="NormalWeb"/>
        <w:numPr>
          <w:ilvl w:val="0"/>
          <w:numId w:val="13"/>
        </w:numPr>
        <w:rPr>
          <w:color w:val="000000"/>
        </w:rPr>
      </w:pPr>
      <w:r>
        <w:rPr>
          <w:color w:val="000000"/>
        </w:rPr>
        <w:t>Improves usefulness and comparability of financial statements</w:t>
      </w:r>
    </w:p>
    <w:p w14:paraId="355A0648" w14:textId="77777777" w:rsidR="00FE1568" w:rsidRDefault="00FE1568" w:rsidP="00FE1568">
      <w:pPr>
        <w:pStyle w:val="NormalWeb"/>
        <w:numPr>
          <w:ilvl w:val="0"/>
          <w:numId w:val="13"/>
        </w:numPr>
        <w:rPr>
          <w:color w:val="000000"/>
        </w:rPr>
      </w:pPr>
      <w:r>
        <w:rPr>
          <w:color w:val="000000"/>
        </w:rPr>
        <w:t>Reduces rework during tax and assurance cycles</w:t>
      </w:r>
    </w:p>
    <w:p w14:paraId="59AFBCB7" w14:textId="77777777" w:rsidR="00FE1568" w:rsidRDefault="00FE1568" w:rsidP="00FE1568">
      <w:pPr>
        <w:pStyle w:val="NormalWeb"/>
        <w:numPr>
          <w:ilvl w:val="0"/>
          <w:numId w:val="13"/>
        </w:numPr>
        <w:rPr>
          <w:color w:val="000000"/>
        </w:rPr>
      </w:pPr>
      <w:r>
        <w:rPr>
          <w:color w:val="000000"/>
        </w:rPr>
        <w:t>Strengthens control over how performance is measured</w:t>
      </w:r>
    </w:p>
    <w:p w14:paraId="45E79A09" w14:textId="77777777" w:rsidR="00FE1568" w:rsidRDefault="00572D79" w:rsidP="00FE1568">
      <w:r>
        <w:rPr>
          <w:noProof/>
        </w:rPr>
        <w:pict w14:anchorId="077D1317">
          <v:rect id="_x0000_i1028" alt="" style="width:431.95pt;height:.05pt;mso-width-percent:0;mso-height-percent:0;mso-width-percent:0;mso-height-percent:0" o:hrpct="923" o:hralign="center" o:hrstd="t" o:hr="t" fillcolor="#a0a0a0" stroked="f"/>
        </w:pict>
      </w:r>
    </w:p>
    <w:p w14:paraId="610D3823" w14:textId="77777777" w:rsidR="00FE1568" w:rsidRDefault="00FE1568" w:rsidP="00FE1568">
      <w:pPr>
        <w:pStyle w:val="Heading4"/>
        <w:rPr>
          <w:color w:val="000000"/>
        </w:rPr>
      </w:pPr>
      <w:r>
        <w:rPr>
          <w:color w:val="000000"/>
        </w:rPr>
        <w:t>Card 3: Bookkeeping, Reconciliation &amp; Close Discipline</w:t>
      </w:r>
    </w:p>
    <w:p w14:paraId="532F93FE" w14:textId="77777777" w:rsidR="00FE1568" w:rsidRDefault="00FE1568" w:rsidP="00FE1568">
      <w:pPr>
        <w:pStyle w:val="NormalWeb"/>
        <w:rPr>
          <w:color w:val="000000"/>
        </w:rPr>
      </w:pPr>
      <w:r>
        <w:rPr>
          <w:color w:val="000000"/>
        </w:rPr>
        <w:t>This step enforces disciplined reconciliation between POS activity, payment settlements, bank deposits, and the ledger so results are validated, not assumed. It also creates a consistent approach to handling timing differences and exceptions (chargebacks, refunds, payout holds) that commonly distort cash and revenue reporting.</w:t>
      </w:r>
      <w:r>
        <w:rPr>
          <w:color w:val="000000"/>
        </w:rPr>
        <w:br/>
      </w:r>
      <w:r>
        <w:rPr>
          <w:rStyle w:val="Strong"/>
          <w:rFonts w:eastAsiaTheme="majorEastAsia"/>
          <w:color w:val="000000"/>
        </w:rPr>
        <w:t>Purpose</w:t>
      </w:r>
    </w:p>
    <w:p w14:paraId="634D6C16" w14:textId="77777777" w:rsidR="00FE1568" w:rsidRDefault="00FE1568" w:rsidP="00FE1568">
      <w:pPr>
        <w:pStyle w:val="NormalWeb"/>
        <w:numPr>
          <w:ilvl w:val="0"/>
          <w:numId w:val="14"/>
        </w:numPr>
        <w:rPr>
          <w:color w:val="000000"/>
        </w:rPr>
      </w:pPr>
      <w:r>
        <w:rPr>
          <w:color w:val="000000"/>
        </w:rPr>
        <w:t>Process transactions using standardized rules and review checks</w:t>
      </w:r>
    </w:p>
    <w:p w14:paraId="2C3868A7" w14:textId="77777777" w:rsidR="00FE1568" w:rsidRDefault="00FE1568" w:rsidP="00FE1568">
      <w:pPr>
        <w:pStyle w:val="NormalWeb"/>
        <w:numPr>
          <w:ilvl w:val="0"/>
          <w:numId w:val="14"/>
        </w:numPr>
        <w:rPr>
          <w:color w:val="000000"/>
        </w:rPr>
      </w:pPr>
      <w:r>
        <w:rPr>
          <w:color w:val="000000"/>
        </w:rPr>
        <w:t>Reconcile key accounts and investigate exceptions each cycle</w:t>
      </w:r>
    </w:p>
    <w:p w14:paraId="0B138E49" w14:textId="77777777" w:rsidR="00FE1568" w:rsidRDefault="00FE1568" w:rsidP="00FE1568">
      <w:pPr>
        <w:pStyle w:val="NormalWeb"/>
        <w:numPr>
          <w:ilvl w:val="0"/>
          <w:numId w:val="14"/>
        </w:numPr>
        <w:rPr>
          <w:color w:val="000000"/>
        </w:rPr>
      </w:pPr>
      <w:r>
        <w:rPr>
          <w:color w:val="000000"/>
        </w:rPr>
        <w:t>Maintain close checklists and documentation for traceability</w:t>
      </w:r>
    </w:p>
    <w:p w14:paraId="0846422B" w14:textId="77777777" w:rsidR="00FE1568" w:rsidRDefault="00FE1568" w:rsidP="00FE1568">
      <w:pPr>
        <w:pStyle w:val="NormalWeb"/>
        <w:rPr>
          <w:color w:val="000000"/>
        </w:rPr>
      </w:pPr>
      <w:r>
        <w:rPr>
          <w:rStyle w:val="Strong"/>
          <w:rFonts w:eastAsiaTheme="majorEastAsia"/>
          <w:color w:val="000000"/>
        </w:rPr>
        <w:t>Why It Matters</w:t>
      </w:r>
    </w:p>
    <w:p w14:paraId="0A650F37" w14:textId="77777777" w:rsidR="00FE1568" w:rsidRDefault="00FE1568" w:rsidP="00FE1568">
      <w:pPr>
        <w:pStyle w:val="NormalWeb"/>
        <w:numPr>
          <w:ilvl w:val="0"/>
          <w:numId w:val="15"/>
        </w:numPr>
        <w:rPr>
          <w:color w:val="000000"/>
        </w:rPr>
      </w:pPr>
      <w:r>
        <w:rPr>
          <w:color w:val="000000"/>
        </w:rPr>
        <w:t>Improves accuracy and completeness of financials</w:t>
      </w:r>
    </w:p>
    <w:p w14:paraId="62056F2B" w14:textId="77777777" w:rsidR="00FE1568" w:rsidRDefault="00FE1568" w:rsidP="00FE1568">
      <w:pPr>
        <w:pStyle w:val="NormalWeb"/>
        <w:numPr>
          <w:ilvl w:val="0"/>
          <w:numId w:val="15"/>
        </w:numPr>
        <w:rPr>
          <w:color w:val="000000"/>
        </w:rPr>
      </w:pPr>
      <w:r>
        <w:rPr>
          <w:color w:val="000000"/>
        </w:rPr>
        <w:t>Detects issues early and reduces downstream disruption</w:t>
      </w:r>
    </w:p>
    <w:p w14:paraId="0586BBB0" w14:textId="77777777" w:rsidR="00FE1568" w:rsidRDefault="00FE1568" w:rsidP="00FE1568">
      <w:pPr>
        <w:pStyle w:val="NormalWeb"/>
        <w:numPr>
          <w:ilvl w:val="0"/>
          <w:numId w:val="15"/>
        </w:numPr>
        <w:rPr>
          <w:color w:val="000000"/>
        </w:rPr>
      </w:pPr>
      <w:r>
        <w:rPr>
          <w:color w:val="000000"/>
        </w:rPr>
        <w:t>Strengthens audit defensibility through a clear trail</w:t>
      </w:r>
    </w:p>
    <w:p w14:paraId="1CDAF41B" w14:textId="77777777" w:rsidR="00FE1568" w:rsidRDefault="00FE1568" w:rsidP="00FE1568">
      <w:pPr>
        <w:pStyle w:val="NormalWeb"/>
        <w:rPr>
          <w:color w:val="000000"/>
        </w:rPr>
      </w:pPr>
      <w:r>
        <w:rPr>
          <w:rStyle w:val="Strong"/>
          <w:rFonts w:eastAsiaTheme="majorEastAsia"/>
          <w:color w:val="000000"/>
        </w:rPr>
        <w:t>Optional Framework Reference</w:t>
      </w:r>
    </w:p>
    <w:p w14:paraId="16D366E2" w14:textId="77777777" w:rsidR="00FE1568" w:rsidRDefault="00FE1568" w:rsidP="00FE1568">
      <w:pPr>
        <w:pStyle w:val="NormalWeb"/>
        <w:numPr>
          <w:ilvl w:val="0"/>
          <w:numId w:val="16"/>
        </w:numPr>
        <w:rPr>
          <w:color w:val="000000"/>
        </w:rPr>
      </w:pPr>
      <w:r>
        <w:rPr>
          <w:color w:val="000000"/>
        </w:rPr>
        <w:t>COSO-aligned control discipline to reinforce reliable close and reconciliation practices</w:t>
      </w:r>
    </w:p>
    <w:p w14:paraId="471EB2FC" w14:textId="77777777" w:rsidR="00FE1568" w:rsidRDefault="00572D79" w:rsidP="00FE1568">
      <w:r>
        <w:rPr>
          <w:noProof/>
        </w:rPr>
        <w:pict w14:anchorId="6DF3060B">
          <v:rect id="_x0000_i1027" alt="" style="width:431.95pt;height:.05pt;mso-width-percent:0;mso-height-percent:0;mso-width-percent:0;mso-height-percent:0" o:hrpct="923" o:hralign="center" o:hrstd="t" o:hr="t" fillcolor="#a0a0a0" stroked="f"/>
        </w:pict>
      </w:r>
    </w:p>
    <w:p w14:paraId="7FC540F0" w14:textId="77777777" w:rsidR="00FE1568" w:rsidRDefault="00FE1568" w:rsidP="00FE1568">
      <w:pPr>
        <w:pStyle w:val="Heading4"/>
        <w:rPr>
          <w:color w:val="000000"/>
        </w:rPr>
      </w:pPr>
      <w:r>
        <w:rPr>
          <w:color w:val="000000"/>
        </w:rPr>
        <w:t>Card 4: Industry-Driven Performance Reporting</w:t>
      </w:r>
    </w:p>
    <w:p w14:paraId="4D593DC2" w14:textId="77777777" w:rsidR="00FE1568" w:rsidRDefault="00FE1568" w:rsidP="00FE1568">
      <w:pPr>
        <w:pStyle w:val="NormalWeb"/>
        <w:rPr>
          <w:color w:val="000000"/>
        </w:rPr>
      </w:pPr>
      <w:r>
        <w:rPr>
          <w:color w:val="000000"/>
        </w:rPr>
        <w:t>This step converts financials into operational signals by connecting profitability and cash performance to controllable drivers such as labor efficiency, food cost, and discounting behavior. It also stabilizes KPI definitions so margins remain comparable across periods even when pricing, delivery mix, or staffing patterns change.</w:t>
      </w:r>
      <w:r>
        <w:rPr>
          <w:color w:val="000000"/>
        </w:rPr>
        <w:br/>
      </w:r>
      <w:r>
        <w:rPr>
          <w:rStyle w:val="Strong"/>
          <w:rFonts w:eastAsiaTheme="majorEastAsia"/>
          <w:color w:val="000000"/>
        </w:rPr>
        <w:t>Purpose</w:t>
      </w:r>
    </w:p>
    <w:p w14:paraId="73A31E01" w14:textId="77777777" w:rsidR="00FE1568" w:rsidRDefault="00FE1568" w:rsidP="00FE1568">
      <w:pPr>
        <w:pStyle w:val="NormalWeb"/>
        <w:numPr>
          <w:ilvl w:val="0"/>
          <w:numId w:val="17"/>
        </w:numPr>
        <w:rPr>
          <w:color w:val="000000"/>
        </w:rPr>
      </w:pPr>
      <w:r>
        <w:rPr>
          <w:color w:val="000000"/>
        </w:rPr>
        <w:t>Deliver reporting that highlights profitability drivers and risk areas</w:t>
      </w:r>
    </w:p>
    <w:p w14:paraId="53C30718" w14:textId="77777777" w:rsidR="00FE1568" w:rsidRDefault="00FE1568" w:rsidP="00FE1568">
      <w:pPr>
        <w:pStyle w:val="NormalWeb"/>
        <w:numPr>
          <w:ilvl w:val="0"/>
          <w:numId w:val="17"/>
        </w:numPr>
        <w:rPr>
          <w:color w:val="000000"/>
        </w:rPr>
      </w:pPr>
      <w:r>
        <w:rPr>
          <w:color w:val="000000"/>
        </w:rPr>
        <w:lastRenderedPageBreak/>
        <w:t>Provide visibility into cash flow timing, margins, and key variances</w:t>
      </w:r>
    </w:p>
    <w:p w14:paraId="7BF411C9" w14:textId="77777777" w:rsidR="00FE1568" w:rsidRDefault="00FE1568" w:rsidP="00FE1568">
      <w:pPr>
        <w:pStyle w:val="NormalWeb"/>
        <w:numPr>
          <w:ilvl w:val="0"/>
          <w:numId w:val="17"/>
        </w:numPr>
        <w:rPr>
          <w:color w:val="000000"/>
        </w:rPr>
      </w:pPr>
      <w:r>
        <w:rPr>
          <w:color w:val="000000"/>
        </w:rPr>
        <w:t>Support decision-ready insights with consistent reporting cadence</w:t>
      </w:r>
    </w:p>
    <w:p w14:paraId="5D5B45B4" w14:textId="77777777" w:rsidR="00FE1568" w:rsidRDefault="00FE1568" w:rsidP="00FE1568">
      <w:pPr>
        <w:pStyle w:val="NormalWeb"/>
        <w:rPr>
          <w:color w:val="000000"/>
        </w:rPr>
      </w:pPr>
      <w:r>
        <w:rPr>
          <w:rStyle w:val="Strong"/>
          <w:rFonts w:eastAsiaTheme="majorEastAsia"/>
          <w:color w:val="000000"/>
        </w:rPr>
        <w:t>Why It Matters</w:t>
      </w:r>
    </w:p>
    <w:p w14:paraId="118DE3A2" w14:textId="77777777" w:rsidR="00FE1568" w:rsidRDefault="00FE1568" w:rsidP="00FE1568">
      <w:pPr>
        <w:pStyle w:val="NormalWeb"/>
        <w:numPr>
          <w:ilvl w:val="0"/>
          <w:numId w:val="18"/>
        </w:numPr>
        <w:rPr>
          <w:color w:val="000000"/>
        </w:rPr>
      </w:pPr>
      <w:r>
        <w:rPr>
          <w:color w:val="000000"/>
        </w:rPr>
        <w:t>Improves decision confidence with timely, relevant visibility</w:t>
      </w:r>
    </w:p>
    <w:p w14:paraId="0B627E25" w14:textId="77777777" w:rsidR="00FE1568" w:rsidRDefault="00FE1568" w:rsidP="00FE1568">
      <w:pPr>
        <w:pStyle w:val="NormalWeb"/>
        <w:numPr>
          <w:ilvl w:val="0"/>
          <w:numId w:val="18"/>
        </w:numPr>
        <w:rPr>
          <w:color w:val="000000"/>
        </w:rPr>
      </w:pPr>
      <w:r>
        <w:rPr>
          <w:color w:val="000000"/>
        </w:rPr>
        <w:t>Supports margin control and operational accountability</w:t>
      </w:r>
    </w:p>
    <w:p w14:paraId="5C8DFF12" w14:textId="77777777" w:rsidR="00FE1568" w:rsidRDefault="00FE1568" w:rsidP="00FE1568">
      <w:pPr>
        <w:pStyle w:val="NormalWeb"/>
        <w:numPr>
          <w:ilvl w:val="0"/>
          <w:numId w:val="18"/>
        </w:numPr>
        <w:rPr>
          <w:color w:val="000000"/>
        </w:rPr>
      </w:pPr>
      <w:r>
        <w:rPr>
          <w:color w:val="000000"/>
        </w:rPr>
        <w:t>Builds trust in financial data for internal and external use</w:t>
      </w:r>
    </w:p>
    <w:p w14:paraId="4E7F4721" w14:textId="77777777" w:rsidR="00FE1568" w:rsidRDefault="00572D79" w:rsidP="00FE1568">
      <w:r>
        <w:rPr>
          <w:noProof/>
        </w:rPr>
        <w:pict w14:anchorId="12179FBC">
          <v:rect id="_x0000_i1026" alt="" style="width:431.95pt;height:.05pt;mso-width-percent:0;mso-height-percent:0;mso-width-percent:0;mso-height-percent:0" o:hrpct="923" o:hralign="center" o:hrstd="t" o:hr="t" fillcolor="#a0a0a0" stroked="f"/>
        </w:pict>
      </w:r>
    </w:p>
    <w:p w14:paraId="03D8A4EB" w14:textId="77777777" w:rsidR="00FE1568" w:rsidRDefault="00FE1568" w:rsidP="00FE1568">
      <w:pPr>
        <w:pStyle w:val="Heading4"/>
        <w:rPr>
          <w:color w:val="000000"/>
        </w:rPr>
      </w:pPr>
      <w:r>
        <w:rPr>
          <w:color w:val="000000"/>
        </w:rPr>
        <w:t>Card 5: Tax &amp; Compliance Alignment</w:t>
      </w:r>
    </w:p>
    <w:p w14:paraId="293B7C60" w14:textId="77777777" w:rsidR="00FE1568" w:rsidRDefault="00FE1568" w:rsidP="00FE1568">
      <w:pPr>
        <w:pStyle w:val="NormalWeb"/>
        <w:rPr>
          <w:color w:val="000000"/>
        </w:rPr>
      </w:pPr>
      <w:r>
        <w:rPr>
          <w:color w:val="000000"/>
        </w:rPr>
        <w:t>This step aligns restaurant transactions and documentation to defensible compliance outcomes, including how tips, service charges, and sales tax are captured and supported. It also reduces filing friction by ensuring operational reporting classifications tie cleanly to compliance requirements throughout the year.</w:t>
      </w:r>
      <w:r>
        <w:rPr>
          <w:color w:val="000000"/>
        </w:rPr>
        <w:br/>
      </w:r>
      <w:r>
        <w:rPr>
          <w:rStyle w:val="Strong"/>
          <w:rFonts w:eastAsiaTheme="majorEastAsia"/>
          <w:color w:val="000000"/>
        </w:rPr>
        <w:t>Purpose</w:t>
      </w:r>
    </w:p>
    <w:p w14:paraId="6A1F40C5" w14:textId="77777777" w:rsidR="00FE1568" w:rsidRDefault="00FE1568" w:rsidP="00FE1568">
      <w:pPr>
        <w:pStyle w:val="NormalWeb"/>
        <w:numPr>
          <w:ilvl w:val="0"/>
          <w:numId w:val="19"/>
        </w:numPr>
        <w:rPr>
          <w:color w:val="000000"/>
        </w:rPr>
      </w:pPr>
      <w:r>
        <w:rPr>
          <w:color w:val="000000"/>
        </w:rPr>
        <w:t>Align reporting outputs to compliance and filing requirements</w:t>
      </w:r>
    </w:p>
    <w:p w14:paraId="4C04B3DC" w14:textId="77777777" w:rsidR="00FE1568" w:rsidRDefault="00FE1568" w:rsidP="00FE1568">
      <w:pPr>
        <w:pStyle w:val="NormalWeb"/>
        <w:numPr>
          <w:ilvl w:val="0"/>
          <w:numId w:val="19"/>
        </w:numPr>
        <w:rPr>
          <w:color w:val="000000"/>
        </w:rPr>
      </w:pPr>
      <w:r>
        <w:rPr>
          <w:color w:val="000000"/>
        </w:rPr>
        <w:t>Identify exposure areas and documentation needs to support defensibility</w:t>
      </w:r>
    </w:p>
    <w:p w14:paraId="6B74E725" w14:textId="77777777" w:rsidR="00FE1568" w:rsidRDefault="00FE1568" w:rsidP="00FE1568">
      <w:pPr>
        <w:pStyle w:val="NormalWeb"/>
        <w:numPr>
          <w:ilvl w:val="0"/>
          <w:numId w:val="19"/>
        </w:numPr>
        <w:rPr>
          <w:color w:val="000000"/>
        </w:rPr>
      </w:pPr>
      <w:r>
        <w:rPr>
          <w:color w:val="000000"/>
        </w:rPr>
        <w:t>Coordinate planning considerations that improve predictability</w:t>
      </w:r>
    </w:p>
    <w:p w14:paraId="7ED469AD" w14:textId="77777777" w:rsidR="00FE1568" w:rsidRDefault="00FE1568" w:rsidP="00FE1568">
      <w:pPr>
        <w:pStyle w:val="NormalWeb"/>
        <w:rPr>
          <w:color w:val="000000"/>
        </w:rPr>
      </w:pPr>
      <w:r>
        <w:rPr>
          <w:rStyle w:val="Strong"/>
          <w:rFonts w:eastAsiaTheme="majorEastAsia"/>
          <w:color w:val="000000"/>
        </w:rPr>
        <w:t>Why It Matters</w:t>
      </w:r>
    </w:p>
    <w:p w14:paraId="35E71FFD" w14:textId="77777777" w:rsidR="00FE1568" w:rsidRDefault="00FE1568" w:rsidP="00FE1568">
      <w:pPr>
        <w:pStyle w:val="NormalWeb"/>
        <w:numPr>
          <w:ilvl w:val="0"/>
          <w:numId w:val="20"/>
        </w:numPr>
        <w:rPr>
          <w:color w:val="000000"/>
        </w:rPr>
      </w:pPr>
      <w:r>
        <w:rPr>
          <w:color w:val="000000"/>
        </w:rPr>
        <w:t>Reduces compliance risk and avoidable penalties</w:t>
      </w:r>
    </w:p>
    <w:p w14:paraId="7EC2F669" w14:textId="77777777" w:rsidR="00FE1568" w:rsidRDefault="00FE1568" w:rsidP="00FE1568">
      <w:pPr>
        <w:pStyle w:val="NormalWeb"/>
        <w:numPr>
          <w:ilvl w:val="0"/>
          <w:numId w:val="20"/>
        </w:numPr>
        <w:rPr>
          <w:color w:val="000000"/>
        </w:rPr>
      </w:pPr>
      <w:r>
        <w:rPr>
          <w:color w:val="000000"/>
        </w:rPr>
        <w:t>Improves audit readiness through organized support</w:t>
      </w:r>
    </w:p>
    <w:p w14:paraId="1874219E" w14:textId="77777777" w:rsidR="00FE1568" w:rsidRDefault="00FE1568" w:rsidP="00FE1568">
      <w:pPr>
        <w:pStyle w:val="NormalWeb"/>
        <w:numPr>
          <w:ilvl w:val="0"/>
          <w:numId w:val="20"/>
        </w:numPr>
        <w:rPr>
          <w:color w:val="000000"/>
        </w:rPr>
      </w:pPr>
      <w:r>
        <w:rPr>
          <w:color w:val="000000"/>
        </w:rPr>
        <w:t>Prevents last-minute surprises tied to incomplete records</w:t>
      </w:r>
    </w:p>
    <w:p w14:paraId="3A3A6D76" w14:textId="77777777" w:rsidR="00FE1568" w:rsidRDefault="00572D79" w:rsidP="00FE1568">
      <w:r>
        <w:rPr>
          <w:noProof/>
        </w:rPr>
        <w:pict w14:anchorId="2801E3B4">
          <v:rect id="_x0000_i1025" alt="" style="width:431.95pt;height:.05pt;mso-width-percent:0;mso-height-percent:0;mso-width-percent:0;mso-height-percent:0" o:hrpct="923" o:hralign="center" o:hrstd="t" o:hr="t" fillcolor="#a0a0a0" stroked="f"/>
        </w:pict>
      </w:r>
    </w:p>
    <w:p w14:paraId="6E861125" w14:textId="77777777" w:rsidR="00FE1568" w:rsidRDefault="00FE1568" w:rsidP="00FE1568">
      <w:pPr>
        <w:pStyle w:val="Heading4"/>
        <w:rPr>
          <w:color w:val="000000"/>
        </w:rPr>
      </w:pPr>
      <w:r>
        <w:rPr>
          <w:color w:val="000000"/>
        </w:rPr>
        <w:t>Card 6: Ongoing Monitoring &amp; Advisory Support</w:t>
      </w:r>
    </w:p>
    <w:p w14:paraId="284CAB02" w14:textId="77777777" w:rsidR="00FE1568" w:rsidRDefault="00FE1568" w:rsidP="00FE1568">
      <w:pPr>
        <w:pStyle w:val="NormalWeb"/>
        <w:rPr>
          <w:color w:val="000000"/>
        </w:rPr>
      </w:pPr>
      <w:r>
        <w:rPr>
          <w:color w:val="000000"/>
        </w:rPr>
        <w:t>This step keeps reporting discipline aligned as the restaurant evolves—new locations, menu changes, new delivery platforms, or shifts in labor model that impact margin and controls. It also creates a structured path to reduce recurring issues (cash variance patterns, comp leakage, mapping inconsistencies) through governance improvements rather than repeated fixes.</w:t>
      </w:r>
      <w:r>
        <w:rPr>
          <w:color w:val="000000"/>
        </w:rPr>
        <w:br/>
      </w:r>
      <w:r>
        <w:rPr>
          <w:rStyle w:val="Strong"/>
          <w:rFonts w:eastAsiaTheme="majorEastAsia"/>
          <w:color w:val="000000"/>
        </w:rPr>
        <w:t>Purpose</w:t>
      </w:r>
    </w:p>
    <w:p w14:paraId="20493B3A" w14:textId="77777777" w:rsidR="00FE1568" w:rsidRDefault="00FE1568" w:rsidP="00FE1568">
      <w:pPr>
        <w:pStyle w:val="NormalWeb"/>
        <w:numPr>
          <w:ilvl w:val="0"/>
          <w:numId w:val="21"/>
        </w:numPr>
        <w:rPr>
          <w:color w:val="000000"/>
        </w:rPr>
      </w:pPr>
      <w:r>
        <w:rPr>
          <w:color w:val="000000"/>
        </w:rPr>
        <w:t>Monitor changes in operations that impact reporting and compliance</w:t>
      </w:r>
    </w:p>
    <w:p w14:paraId="3471EF32" w14:textId="77777777" w:rsidR="00FE1568" w:rsidRDefault="00FE1568" w:rsidP="00FE1568">
      <w:pPr>
        <w:pStyle w:val="NormalWeb"/>
        <w:numPr>
          <w:ilvl w:val="0"/>
          <w:numId w:val="21"/>
        </w:numPr>
        <w:rPr>
          <w:color w:val="000000"/>
        </w:rPr>
      </w:pPr>
      <w:r>
        <w:rPr>
          <w:color w:val="000000"/>
        </w:rPr>
        <w:t>Recommend adjustments to improve controls and efficiency</w:t>
      </w:r>
    </w:p>
    <w:p w14:paraId="11F223D0" w14:textId="77777777" w:rsidR="00FE1568" w:rsidRDefault="00FE1568" w:rsidP="00FE1568">
      <w:pPr>
        <w:pStyle w:val="NormalWeb"/>
        <w:numPr>
          <w:ilvl w:val="0"/>
          <w:numId w:val="21"/>
        </w:numPr>
        <w:rPr>
          <w:color w:val="000000"/>
        </w:rPr>
      </w:pPr>
      <w:r>
        <w:rPr>
          <w:color w:val="000000"/>
        </w:rPr>
        <w:t>Support growth, financing, and stakeholder readiness as needed</w:t>
      </w:r>
    </w:p>
    <w:p w14:paraId="1154A374" w14:textId="77777777" w:rsidR="00FE1568" w:rsidRDefault="00FE1568" w:rsidP="00FE1568">
      <w:pPr>
        <w:pStyle w:val="NormalWeb"/>
        <w:rPr>
          <w:color w:val="000000"/>
        </w:rPr>
      </w:pPr>
      <w:r>
        <w:rPr>
          <w:rStyle w:val="Strong"/>
          <w:rFonts w:eastAsiaTheme="majorEastAsia"/>
          <w:color w:val="000000"/>
        </w:rPr>
        <w:t>Why It Matters</w:t>
      </w:r>
    </w:p>
    <w:p w14:paraId="770F5827" w14:textId="77777777" w:rsidR="00FE1568" w:rsidRDefault="00FE1568" w:rsidP="00FE1568">
      <w:pPr>
        <w:pStyle w:val="NormalWeb"/>
        <w:numPr>
          <w:ilvl w:val="0"/>
          <w:numId w:val="22"/>
        </w:numPr>
        <w:rPr>
          <w:color w:val="000000"/>
        </w:rPr>
      </w:pPr>
      <w:r>
        <w:rPr>
          <w:color w:val="000000"/>
        </w:rPr>
        <w:lastRenderedPageBreak/>
        <w:t>Keeps financial discipline aligned as complexity increases</w:t>
      </w:r>
    </w:p>
    <w:p w14:paraId="22B5C728" w14:textId="77777777" w:rsidR="00FE1568" w:rsidRDefault="00FE1568" w:rsidP="00FE1568">
      <w:pPr>
        <w:pStyle w:val="NormalWeb"/>
        <w:numPr>
          <w:ilvl w:val="0"/>
          <w:numId w:val="22"/>
        </w:numPr>
        <w:rPr>
          <w:color w:val="000000"/>
        </w:rPr>
      </w:pPr>
      <w:r>
        <w:rPr>
          <w:color w:val="000000"/>
        </w:rPr>
        <w:t>Improves scalability without sacrificing control</w:t>
      </w:r>
    </w:p>
    <w:p w14:paraId="32A60E17" w14:textId="77777777" w:rsidR="00FE1568" w:rsidRDefault="00FE1568" w:rsidP="00FE1568">
      <w:pPr>
        <w:pStyle w:val="NormalWeb"/>
        <w:numPr>
          <w:ilvl w:val="0"/>
          <w:numId w:val="22"/>
        </w:numPr>
        <w:rPr>
          <w:color w:val="000000"/>
        </w:rPr>
      </w:pPr>
      <w:r>
        <w:rPr>
          <w:color w:val="000000"/>
        </w:rPr>
        <w:t>Strengthens long-term reliability and credibility</w:t>
      </w:r>
    </w:p>
    <w:p w14:paraId="0702C6AC" w14:textId="5A5204C1" w:rsidR="00DF767A" w:rsidRPr="00FE1568" w:rsidRDefault="00DF767A" w:rsidP="00FE1568"/>
    <w:sectPr w:rsidR="00DF767A" w:rsidRPr="00FE156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17B2752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484423"/>
    <w:multiLevelType w:val="multilevel"/>
    <w:tmpl w:val="74AC4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4009DC"/>
    <w:multiLevelType w:val="multilevel"/>
    <w:tmpl w:val="CBB20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AF4364"/>
    <w:multiLevelType w:val="multilevel"/>
    <w:tmpl w:val="4824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0C70DC"/>
    <w:multiLevelType w:val="multilevel"/>
    <w:tmpl w:val="D13EB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401EA0"/>
    <w:multiLevelType w:val="multilevel"/>
    <w:tmpl w:val="4C387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36244B"/>
    <w:multiLevelType w:val="multilevel"/>
    <w:tmpl w:val="277E7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260C24"/>
    <w:multiLevelType w:val="multilevel"/>
    <w:tmpl w:val="F4B8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2B1388"/>
    <w:multiLevelType w:val="multilevel"/>
    <w:tmpl w:val="1AC69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D309E5"/>
    <w:multiLevelType w:val="multilevel"/>
    <w:tmpl w:val="740EA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5978EA"/>
    <w:multiLevelType w:val="multilevel"/>
    <w:tmpl w:val="143A5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764208"/>
    <w:multiLevelType w:val="multilevel"/>
    <w:tmpl w:val="EF1E0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A6406D"/>
    <w:multiLevelType w:val="multilevel"/>
    <w:tmpl w:val="D10C4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5F3680"/>
    <w:multiLevelType w:val="multilevel"/>
    <w:tmpl w:val="0600A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2988294">
    <w:abstractNumId w:val="8"/>
  </w:num>
  <w:num w:numId="2" w16cid:durableId="651565941">
    <w:abstractNumId w:val="6"/>
  </w:num>
  <w:num w:numId="3" w16cid:durableId="1604341372">
    <w:abstractNumId w:val="5"/>
  </w:num>
  <w:num w:numId="4" w16cid:durableId="1100760073">
    <w:abstractNumId w:val="4"/>
  </w:num>
  <w:num w:numId="5" w16cid:durableId="445545518">
    <w:abstractNumId w:val="7"/>
  </w:num>
  <w:num w:numId="6" w16cid:durableId="1401515042">
    <w:abstractNumId w:val="3"/>
  </w:num>
  <w:num w:numId="7" w16cid:durableId="868956939">
    <w:abstractNumId w:val="2"/>
  </w:num>
  <w:num w:numId="8" w16cid:durableId="1005015611">
    <w:abstractNumId w:val="1"/>
  </w:num>
  <w:num w:numId="9" w16cid:durableId="1891068547">
    <w:abstractNumId w:val="0"/>
  </w:num>
  <w:num w:numId="10" w16cid:durableId="2133480556">
    <w:abstractNumId w:val="15"/>
  </w:num>
  <w:num w:numId="11" w16cid:durableId="1435437408">
    <w:abstractNumId w:val="20"/>
  </w:num>
  <w:num w:numId="12" w16cid:durableId="718700426">
    <w:abstractNumId w:val="16"/>
  </w:num>
  <w:num w:numId="13" w16cid:durableId="2061201425">
    <w:abstractNumId w:val="13"/>
  </w:num>
  <w:num w:numId="14" w16cid:durableId="1052147022">
    <w:abstractNumId w:val="19"/>
  </w:num>
  <w:num w:numId="15" w16cid:durableId="1030571302">
    <w:abstractNumId w:val="18"/>
  </w:num>
  <w:num w:numId="16" w16cid:durableId="189224118">
    <w:abstractNumId w:val="10"/>
  </w:num>
  <w:num w:numId="17" w16cid:durableId="1119302591">
    <w:abstractNumId w:val="12"/>
  </w:num>
  <w:num w:numId="18" w16cid:durableId="265355840">
    <w:abstractNumId w:val="17"/>
  </w:num>
  <w:num w:numId="19" w16cid:durableId="389422996">
    <w:abstractNumId w:val="9"/>
  </w:num>
  <w:num w:numId="20" w16cid:durableId="643237605">
    <w:abstractNumId w:val="11"/>
  </w:num>
  <w:num w:numId="21" w16cid:durableId="1754889624">
    <w:abstractNumId w:val="14"/>
  </w:num>
  <w:num w:numId="22" w16cid:durableId="39887155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2D79"/>
    <w:rsid w:val="00AA1D8D"/>
    <w:rsid w:val="00B47730"/>
    <w:rsid w:val="00CB0664"/>
    <w:rsid w:val="00CD6F65"/>
    <w:rsid w:val="00DF767A"/>
    <w:rsid w:val="00FC693F"/>
    <w:rsid w:val="00FE156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8ED22B"/>
  <w14:defaultImageDpi w14:val="300"/>
  <w15:docId w15:val="{E3392A07-D58E-EE4B-B60E-88D48D9F1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E156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FE15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673</Words>
  <Characters>4846</Characters>
  <Application>Microsoft Office Word</Application>
  <DocSecurity>0</DocSecurity>
  <Lines>105</Lines>
  <Paragraphs>104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nischal siwakoti</cp:lastModifiedBy>
  <cp:revision>2</cp:revision>
  <dcterms:created xsi:type="dcterms:W3CDTF">2013-12-23T23:15:00Z</dcterms:created>
  <dcterms:modified xsi:type="dcterms:W3CDTF">2026-02-01T19:23:00Z</dcterms:modified>
  <cp:category/>
</cp:coreProperties>
</file>