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9196" w14:textId="77777777" w:rsidR="00361210" w:rsidRDefault="00361210" w:rsidP="00361210">
      <w:pPr>
        <w:pStyle w:val="Heading2"/>
        <w:rPr>
          <w:color w:val="000000"/>
        </w:rPr>
      </w:pPr>
      <w:r>
        <w:rPr>
          <w:color w:val="000000"/>
        </w:rPr>
        <w:t>Retail Accounting Services</w:t>
      </w:r>
    </w:p>
    <w:p w14:paraId="105400A9" w14:textId="77777777" w:rsidR="00361210" w:rsidRDefault="00361210" w:rsidP="00361210">
      <w:pPr>
        <w:pStyle w:val="Heading3"/>
        <w:rPr>
          <w:color w:val="000000"/>
        </w:rPr>
      </w:pPr>
      <w:r>
        <w:rPr>
          <w:color w:val="000000"/>
        </w:rPr>
        <w:t>Service Summary (3–5 Sentences)</w:t>
      </w:r>
    </w:p>
    <w:p w14:paraId="01AA0CB8" w14:textId="77777777" w:rsidR="00361210" w:rsidRDefault="00361210" w:rsidP="00361210">
      <w:pPr>
        <w:pStyle w:val="NormalWeb"/>
        <w:rPr>
          <w:color w:val="000000"/>
        </w:rPr>
      </w:pPr>
      <w:r>
        <w:rPr>
          <w:color w:val="000000"/>
        </w:rPr>
        <w:t>Retail Accounting Services provides industry-aware accounting, tax, and reporting discipline designed to improve margin visibility, cash control, and compliance reliability. Retail businesses often face operational complexity that creates reporting delays, weak controls, and limited decision confidence when financial processes are not structured. Quantum delivers a governance-first, control-driven approach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daily activity into consistent, audit-ready reporting. Where technology platforms are used (POS, e-commerce, inventory, and payment systems), we manage tool-related risk—data accuracy, integrations, access, and configuration drift—by helping select fit-for-purpose tools and implementing a governance framework that keeps reporting defensible and scalable.</w:t>
      </w:r>
    </w:p>
    <w:p w14:paraId="73B6A098" w14:textId="77777777" w:rsidR="00361210" w:rsidRDefault="00B03786" w:rsidP="00361210">
      <w:r>
        <w:rPr>
          <w:noProof/>
        </w:rPr>
        <w:pict w14:anchorId="60917DDE">
          <v:rect id="_x0000_i1030" alt="" style="width:431.95pt;height:.05pt;mso-width-percent:0;mso-height-percent:0;mso-width-percent:0;mso-height-percent:0" o:hrpct="923" o:hralign="center" o:hrstd="t" o:hr="t" fillcolor="#a0a0a0" stroked="f"/>
        </w:pict>
      </w:r>
    </w:p>
    <w:p w14:paraId="403BD870" w14:textId="77777777" w:rsidR="00361210" w:rsidRDefault="00361210" w:rsidP="00361210">
      <w:pPr>
        <w:pStyle w:val="Heading3"/>
        <w:rPr>
          <w:color w:val="000000"/>
        </w:rPr>
      </w:pPr>
      <w:r>
        <w:rPr>
          <w:color w:val="000000"/>
        </w:rPr>
        <w:t>Service Cards (Website Tiles)</w:t>
      </w:r>
    </w:p>
    <w:p w14:paraId="52EB113C" w14:textId="77777777" w:rsidR="00361210" w:rsidRDefault="00361210" w:rsidP="00361210">
      <w:pPr>
        <w:pStyle w:val="Heading4"/>
        <w:rPr>
          <w:color w:val="000000"/>
        </w:rPr>
      </w:pPr>
      <w:r>
        <w:rPr>
          <w:color w:val="000000"/>
        </w:rPr>
        <w:t>Card 1: Operating &amp; Financial Discovery</w:t>
      </w:r>
    </w:p>
    <w:p w14:paraId="1F010EC1" w14:textId="77777777" w:rsidR="00361210" w:rsidRDefault="00361210" w:rsidP="00361210">
      <w:pPr>
        <w:pStyle w:val="NormalWeb"/>
        <w:rPr>
          <w:color w:val="000000"/>
        </w:rPr>
      </w:pPr>
      <w:r>
        <w:rPr>
          <w:color w:val="000000"/>
        </w:rPr>
        <w:t>This step maps the end-to-end retail value chain from sale initiation through settlement, including how promotions, returns, and fulfillment choices affect financial outcomes. It also identifies where data originates and where it can be distorted (channel reporting, settlements, inventory movement), so the reporting foundation is built on controlled sources.</w:t>
      </w:r>
      <w:r>
        <w:rPr>
          <w:color w:val="000000"/>
        </w:rPr>
        <w:br/>
      </w:r>
      <w:r>
        <w:rPr>
          <w:rStyle w:val="Strong"/>
          <w:rFonts w:eastAsiaTheme="majorEastAsia"/>
          <w:color w:val="000000"/>
        </w:rPr>
        <w:t>Purpose</w:t>
      </w:r>
    </w:p>
    <w:p w14:paraId="069FC16E" w14:textId="77777777" w:rsidR="00361210" w:rsidRDefault="00361210" w:rsidP="00361210">
      <w:pPr>
        <w:pStyle w:val="NormalWeb"/>
        <w:numPr>
          <w:ilvl w:val="0"/>
          <w:numId w:val="10"/>
        </w:numPr>
        <w:rPr>
          <w:color w:val="000000"/>
        </w:rPr>
      </w:pPr>
      <w:r>
        <w:rPr>
          <w:color w:val="000000"/>
        </w:rPr>
        <w:t>Understand the operating model, revenue drivers, cost structure, and reporting needs</w:t>
      </w:r>
    </w:p>
    <w:p w14:paraId="39CC5F18" w14:textId="77777777" w:rsidR="00361210" w:rsidRDefault="00361210" w:rsidP="00361210">
      <w:pPr>
        <w:pStyle w:val="NormalWeb"/>
        <w:numPr>
          <w:ilvl w:val="0"/>
          <w:numId w:val="10"/>
        </w:numPr>
        <w:rPr>
          <w:color w:val="000000"/>
        </w:rPr>
      </w:pPr>
      <w:r>
        <w:rPr>
          <w:color w:val="000000"/>
        </w:rPr>
        <w:t>Identify key risk areas, control gaps, and data sources that impact accuracy</w:t>
      </w:r>
    </w:p>
    <w:p w14:paraId="7068F628" w14:textId="77777777" w:rsidR="00361210" w:rsidRDefault="00361210" w:rsidP="00361210">
      <w:pPr>
        <w:pStyle w:val="NormalWeb"/>
        <w:numPr>
          <w:ilvl w:val="0"/>
          <w:numId w:val="10"/>
        </w:numPr>
        <w:rPr>
          <w:color w:val="000000"/>
        </w:rPr>
      </w:pPr>
      <w:r>
        <w:rPr>
          <w:color w:val="000000"/>
        </w:rPr>
        <w:t>Define scope, cadence, and responsibilities for consistent execution</w:t>
      </w:r>
    </w:p>
    <w:p w14:paraId="05B83F97" w14:textId="77777777" w:rsidR="00361210" w:rsidRDefault="00361210" w:rsidP="00361210">
      <w:pPr>
        <w:pStyle w:val="NormalWeb"/>
        <w:rPr>
          <w:color w:val="000000"/>
        </w:rPr>
      </w:pPr>
      <w:r>
        <w:rPr>
          <w:rStyle w:val="Strong"/>
          <w:rFonts w:eastAsiaTheme="majorEastAsia"/>
          <w:color w:val="000000"/>
        </w:rPr>
        <w:t>Why It Matters</w:t>
      </w:r>
    </w:p>
    <w:p w14:paraId="086C3C48" w14:textId="77777777" w:rsidR="00361210" w:rsidRDefault="00361210" w:rsidP="00361210">
      <w:pPr>
        <w:pStyle w:val="NormalWeb"/>
        <w:numPr>
          <w:ilvl w:val="0"/>
          <w:numId w:val="11"/>
        </w:numPr>
        <w:rPr>
          <w:color w:val="000000"/>
        </w:rPr>
      </w:pPr>
      <w:r>
        <w:rPr>
          <w:color w:val="000000"/>
        </w:rPr>
        <w:t>Improves clarity and reduces misalignment early</w:t>
      </w:r>
    </w:p>
    <w:p w14:paraId="3B514104" w14:textId="77777777" w:rsidR="00361210" w:rsidRDefault="00361210" w:rsidP="00361210">
      <w:pPr>
        <w:pStyle w:val="NormalWeb"/>
        <w:numPr>
          <w:ilvl w:val="0"/>
          <w:numId w:val="11"/>
        </w:numPr>
        <w:rPr>
          <w:color w:val="000000"/>
        </w:rPr>
      </w:pPr>
      <w:r>
        <w:rPr>
          <w:color w:val="000000"/>
        </w:rPr>
        <w:t>Prevents recurring errors caused by incomplete context</w:t>
      </w:r>
    </w:p>
    <w:p w14:paraId="37380C66" w14:textId="77777777" w:rsidR="00361210" w:rsidRDefault="00361210" w:rsidP="00361210">
      <w:pPr>
        <w:pStyle w:val="NormalWeb"/>
        <w:numPr>
          <w:ilvl w:val="0"/>
          <w:numId w:val="11"/>
        </w:numPr>
        <w:rPr>
          <w:color w:val="000000"/>
        </w:rPr>
      </w:pPr>
      <w:r>
        <w:rPr>
          <w:color w:val="000000"/>
        </w:rPr>
        <w:t>Creates a controlled foundation for reliable reporting</w:t>
      </w:r>
    </w:p>
    <w:p w14:paraId="7C4065A4" w14:textId="77777777" w:rsidR="00361210" w:rsidRDefault="00B03786" w:rsidP="00361210">
      <w:r>
        <w:rPr>
          <w:noProof/>
        </w:rPr>
        <w:pict w14:anchorId="553EF09E">
          <v:rect id="_x0000_i1029" alt="" style="width:431.95pt;height:.05pt;mso-width-percent:0;mso-height-percent:0;mso-width-percent:0;mso-height-percent:0" o:hrpct="923" o:hralign="center" o:hrstd="t" o:hr="t" fillcolor="#a0a0a0" stroked="f"/>
        </w:pict>
      </w:r>
    </w:p>
    <w:p w14:paraId="4D883472" w14:textId="77777777" w:rsidR="00361210" w:rsidRDefault="00361210" w:rsidP="00361210">
      <w:pPr>
        <w:pStyle w:val="Heading4"/>
        <w:rPr>
          <w:color w:val="000000"/>
        </w:rPr>
      </w:pPr>
      <w:r>
        <w:rPr>
          <w:color w:val="000000"/>
        </w:rPr>
        <w:t>Card 2: Accounting Framework &amp; Reporting Structure</w:t>
      </w:r>
    </w:p>
    <w:p w14:paraId="7D50DA98" w14:textId="77777777" w:rsidR="00361210" w:rsidRDefault="00361210" w:rsidP="00361210">
      <w:pPr>
        <w:pStyle w:val="NormalWeb"/>
        <w:rPr>
          <w:color w:val="000000"/>
        </w:rPr>
      </w:pPr>
      <w:r>
        <w:rPr>
          <w:color w:val="000000"/>
        </w:rPr>
        <w:t xml:space="preserve">This step establishes standardized financial definitions for retail-specific activity such as gift cards, processor fees, marketplace commissions, and promotional discounting. It also </w:t>
      </w:r>
      <w:r>
        <w:rPr>
          <w:color w:val="000000"/>
        </w:rPr>
        <w:lastRenderedPageBreak/>
        <w:t>ensures that the reporting structure is designed to support store-, channel-, and category-level performance analysis without manual rework each period.</w:t>
      </w:r>
      <w:r>
        <w:rPr>
          <w:color w:val="000000"/>
        </w:rPr>
        <w:br/>
      </w:r>
      <w:r>
        <w:rPr>
          <w:rStyle w:val="Strong"/>
          <w:rFonts w:eastAsiaTheme="majorEastAsia"/>
          <w:color w:val="000000"/>
        </w:rPr>
        <w:t>Purpose</w:t>
      </w:r>
    </w:p>
    <w:p w14:paraId="21DEE99D" w14:textId="77777777" w:rsidR="00361210" w:rsidRDefault="00361210" w:rsidP="00361210">
      <w:pPr>
        <w:pStyle w:val="NormalWeb"/>
        <w:numPr>
          <w:ilvl w:val="0"/>
          <w:numId w:val="12"/>
        </w:numPr>
        <w:rPr>
          <w:color w:val="000000"/>
        </w:rPr>
      </w:pPr>
      <w:r>
        <w:rPr>
          <w:color w:val="000000"/>
        </w:rPr>
        <w:t>Design or refine the chart of accounts and reporting structure to match operations</w:t>
      </w:r>
    </w:p>
    <w:p w14:paraId="7FB4F131" w14:textId="77777777" w:rsidR="00361210" w:rsidRDefault="00361210" w:rsidP="00361210">
      <w:pPr>
        <w:pStyle w:val="NormalWeb"/>
        <w:numPr>
          <w:ilvl w:val="0"/>
          <w:numId w:val="12"/>
        </w:numPr>
        <w:rPr>
          <w:color w:val="000000"/>
        </w:rPr>
      </w:pPr>
      <w:r>
        <w:rPr>
          <w:color w:val="000000"/>
        </w:rPr>
        <w:t>Define classification rules and documentation standards for consistency</w:t>
      </w:r>
    </w:p>
    <w:p w14:paraId="5B95D7BD" w14:textId="77777777" w:rsidR="00361210" w:rsidRDefault="00361210" w:rsidP="00361210">
      <w:pPr>
        <w:pStyle w:val="NormalWeb"/>
        <w:numPr>
          <w:ilvl w:val="0"/>
          <w:numId w:val="12"/>
        </w:numPr>
        <w:rPr>
          <w:color w:val="000000"/>
        </w:rPr>
      </w:pPr>
      <w:r>
        <w:rPr>
          <w:color w:val="000000"/>
        </w:rPr>
        <w:t>Align structure to support scale and stakeholder expectations</w:t>
      </w:r>
    </w:p>
    <w:p w14:paraId="1E825FEE" w14:textId="77777777" w:rsidR="00361210" w:rsidRDefault="00361210" w:rsidP="00361210">
      <w:pPr>
        <w:pStyle w:val="NormalWeb"/>
        <w:rPr>
          <w:color w:val="000000"/>
        </w:rPr>
      </w:pPr>
      <w:r>
        <w:rPr>
          <w:rStyle w:val="Strong"/>
          <w:rFonts w:eastAsiaTheme="majorEastAsia"/>
          <w:color w:val="000000"/>
        </w:rPr>
        <w:t>Why It Matters</w:t>
      </w:r>
    </w:p>
    <w:p w14:paraId="0AA6E104" w14:textId="77777777" w:rsidR="00361210" w:rsidRDefault="00361210" w:rsidP="00361210">
      <w:pPr>
        <w:pStyle w:val="NormalWeb"/>
        <w:numPr>
          <w:ilvl w:val="0"/>
          <w:numId w:val="13"/>
        </w:numPr>
        <w:rPr>
          <w:color w:val="000000"/>
        </w:rPr>
      </w:pPr>
      <w:r>
        <w:rPr>
          <w:color w:val="000000"/>
        </w:rPr>
        <w:t>Improves usefulness and comparability of financial statements</w:t>
      </w:r>
    </w:p>
    <w:p w14:paraId="3F1308BB" w14:textId="77777777" w:rsidR="00361210" w:rsidRDefault="00361210" w:rsidP="00361210">
      <w:pPr>
        <w:pStyle w:val="NormalWeb"/>
        <w:numPr>
          <w:ilvl w:val="0"/>
          <w:numId w:val="13"/>
        </w:numPr>
        <w:rPr>
          <w:color w:val="000000"/>
        </w:rPr>
      </w:pPr>
      <w:r>
        <w:rPr>
          <w:color w:val="000000"/>
        </w:rPr>
        <w:t>Reduces rework during tax and assurance cycles</w:t>
      </w:r>
    </w:p>
    <w:p w14:paraId="5842C333" w14:textId="77777777" w:rsidR="00361210" w:rsidRDefault="00361210" w:rsidP="00361210">
      <w:pPr>
        <w:pStyle w:val="NormalWeb"/>
        <w:numPr>
          <w:ilvl w:val="0"/>
          <w:numId w:val="13"/>
        </w:numPr>
        <w:rPr>
          <w:color w:val="000000"/>
        </w:rPr>
      </w:pPr>
      <w:r>
        <w:rPr>
          <w:color w:val="000000"/>
        </w:rPr>
        <w:t>Strengthens control over how performance is measured</w:t>
      </w:r>
    </w:p>
    <w:p w14:paraId="1447707E" w14:textId="77777777" w:rsidR="00361210" w:rsidRDefault="00B03786" w:rsidP="00361210">
      <w:r>
        <w:rPr>
          <w:noProof/>
        </w:rPr>
        <w:pict w14:anchorId="027159A6">
          <v:rect id="_x0000_i1028" alt="" style="width:431.95pt;height:.05pt;mso-width-percent:0;mso-height-percent:0;mso-width-percent:0;mso-height-percent:0" o:hrpct="923" o:hralign="center" o:hrstd="t" o:hr="t" fillcolor="#a0a0a0" stroked="f"/>
        </w:pict>
      </w:r>
    </w:p>
    <w:p w14:paraId="13B35A02" w14:textId="77777777" w:rsidR="00361210" w:rsidRDefault="00361210" w:rsidP="00361210">
      <w:pPr>
        <w:pStyle w:val="Heading4"/>
        <w:rPr>
          <w:color w:val="000000"/>
        </w:rPr>
      </w:pPr>
      <w:r>
        <w:rPr>
          <w:color w:val="000000"/>
        </w:rPr>
        <w:t>Card 3: Bookkeeping, Reconciliation &amp; Close Discipline</w:t>
      </w:r>
    </w:p>
    <w:p w14:paraId="6290B619" w14:textId="77777777" w:rsidR="00361210" w:rsidRDefault="00361210" w:rsidP="00361210">
      <w:pPr>
        <w:pStyle w:val="NormalWeb"/>
        <w:rPr>
          <w:color w:val="000000"/>
        </w:rPr>
      </w:pPr>
      <w:r>
        <w:rPr>
          <w:color w:val="000000"/>
        </w:rPr>
        <w:t>This step enforces a disciplined reconciliation model that ties operational activity to cash, ensuring platform reports are verified rather than assumed. It also sets standards for handling timing differences and exceptions (refunds, chargebacks, settlement holds) so the close remains stable under volume and seasonality pressure.</w:t>
      </w:r>
      <w:r>
        <w:rPr>
          <w:color w:val="000000"/>
        </w:rPr>
        <w:br/>
      </w:r>
      <w:r>
        <w:rPr>
          <w:rStyle w:val="Strong"/>
          <w:rFonts w:eastAsiaTheme="majorEastAsia"/>
          <w:color w:val="000000"/>
        </w:rPr>
        <w:t>Purpose</w:t>
      </w:r>
    </w:p>
    <w:p w14:paraId="64A6BFD6" w14:textId="77777777" w:rsidR="00361210" w:rsidRDefault="00361210" w:rsidP="00361210">
      <w:pPr>
        <w:pStyle w:val="NormalWeb"/>
        <w:numPr>
          <w:ilvl w:val="0"/>
          <w:numId w:val="14"/>
        </w:numPr>
        <w:rPr>
          <w:color w:val="000000"/>
        </w:rPr>
      </w:pPr>
      <w:r>
        <w:rPr>
          <w:color w:val="000000"/>
        </w:rPr>
        <w:t>Process transactions using standardized rules and review checks</w:t>
      </w:r>
    </w:p>
    <w:p w14:paraId="6C1A5E04" w14:textId="77777777" w:rsidR="00361210" w:rsidRDefault="00361210" w:rsidP="00361210">
      <w:pPr>
        <w:pStyle w:val="NormalWeb"/>
        <w:numPr>
          <w:ilvl w:val="0"/>
          <w:numId w:val="14"/>
        </w:numPr>
        <w:rPr>
          <w:color w:val="000000"/>
        </w:rPr>
      </w:pPr>
      <w:r>
        <w:rPr>
          <w:color w:val="000000"/>
        </w:rPr>
        <w:t>Reconcile key accounts and investigate exceptions each cycle</w:t>
      </w:r>
    </w:p>
    <w:p w14:paraId="4A95A129" w14:textId="77777777" w:rsidR="00361210" w:rsidRDefault="00361210" w:rsidP="00361210">
      <w:pPr>
        <w:pStyle w:val="NormalWeb"/>
        <w:numPr>
          <w:ilvl w:val="0"/>
          <w:numId w:val="14"/>
        </w:numPr>
        <w:rPr>
          <w:color w:val="000000"/>
        </w:rPr>
      </w:pPr>
      <w:r>
        <w:rPr>
          <w:color w:val="000000"/>
        </w:rPr>
        <w:t>Maintain close checklists and documentation for traceability</w:t>
      </w:r>
    </w:p>
    <w:p w14:paraId="69547656" w14:textId="77777777" w:rsidR="00361210" w:rsidRDefault="00361210" w:rsidP="00361210">
      <w:pPr>
        <w:pStyle w:val="NormalWeb"/>
        <w:rPr>
          <w:color w:val="000000"/>
        </w:rPr>
      </w:pPr>
      <w:r>
        <w:rPr>
          <w:rStyle w:val="Strong"/>
          <w:rFonts w:eastAsiaTheme="majorEastAsia"/>
          <w:color w:val="000000"/>
        </w:rPr>
        <w:t>Why It Matters</w:t>
      </w:r>
    </w:p>
    <w:p w14:paraId="684CB647" w14:textId="77777777" w:rsidR="00361210" w:rsidRDefault="00361210" w:rsidP="00361210">
      <w:pPr>
        <w:pStyle w:val="NormalWeb"/>
        <w:numPr>
          <w:ilvl w:val="0"/>
          <w:numId w:val="15"/>
        </w:numPr>
        <w:rPr>
          <w:color w:val="000000"/>
        </w:rPr>
      </w:pPr>
      <w:r>
        <w:rPr>
          <w:color w:val="000000"/>
        </w:rPr>
        <w:t>Improves accuracy and completeness of financials</w:t>
      </w:r>
    </w:p>
    <w:p w14:paraId="61F9B75B" w14:textId="77777777" w:rsidR="00361210" w:rsidRDefault="00361210" w:rsidP="00361210">
      <w:pPr>
        <w:pStyle w:val="NormalWeb"/>
        <w:numPr>
          <w:ilvl w:val="0"/>
          <w:numId w:val="15"/>
        </w:numPr>
        <w:rPr>
          <w:color w:val="000000"/>
        </w:rPr>
      </w:pPr>
      <w:r>
        <w:rPr>
          <w:color w:val="000000"/>
        </w:rPr>
        <w:t>Detects issues early and reduces downstream disruption</w:t>
      </w:r>
    </w:p>
    <w:p w14:paraId="43FBF7AC" w14:textId="77777777" w:rsidR="00361210" w:rsidRDefault="00361210" w:rsidP="00361210">
      <w:pPr>
        <w:pStyle w:val="NormalWeb"/>
        <w:numPr>
          <w:ilvl w:val="0"/>
          <w:numId w:val="15"/>
        </w:numPr>
        <w:rPr>
          <w:color w:val="000000"/>
        </w:rPr>
      </w:pPr>
      <w:r>
        <w:rPr>
          <w:color w:val="000000"/>
        </w:rPr>
        <w:t>Strengthens audit defensibility through a clear trail</w:t>
      </w:r>
    </w:p>
    <w:p w14:paraId="3459649E" w14:textId="77777777" w:rsidR="00361210" w:rsidRDefault="00361210" w:rsidP="00361210">
      <w:pPr>
        <w:pStyle w:val="NormalWeb"/>
        <w:rPr>
          <w:color w:val="000000"/>
        </w:rPr>
      </w:pPr>
      <w:r>
        <w:rPr>
          <w:rStyle w:val="Strong"/>
          <w:rFonts w:eastAsiaTheme="majorEastAsia"/>
          <w:color w:val="000000"/>
        </w:rPr>
        <w:t>Optional Framework Reference</w:t>
      </w:r>
    </w:p>
    <w:p w14:paraId="6475C0C9" w14:textId="77777777" w:rsidR="00361210" w:rsidRDefault="00361210" w:rsidP="00361210">
      <w:pPr>
        <w:pStyle w:val="NormalWeb"/>
        <w:numPr>
          <w:ilvl w:val="0"/>
          <w:numId w:val="16"/>
        </w:numPr>
        <w:rPr>
          <w:color w:val="000000"/>
        </w:rPr>
      </w:pPr>
      <w:r>
        <w:rPr>
          <w:color w:val="000000"/>
        </w:rPr>
        <w:t>COSO-aligned control discipline to reinforce reliable close and reconciliation practices</w:t>
      </w:r>
    </w:p>
    <w:p w14:paraId="1471D27D" w14:textId="77777777" w:rsidR="00361210" w:rsidRDefault="00B03786" w:rsidP="00361210">
      <w:r>
        <w:rPr>
          <w:noProof/>
        </w:rPr>
        <w:pict w14:anchorId="2FE43D6B">
          <v:rect id="_x0000_i1027" alt="" style="width:431.95pt;height:.05pt;mso-width-percent:0;mso-height-percent:0;mso-width-percent:0;mso-height-percent:0" o:hrpct="923" o:hralign="center" o:hrstd="t" o:hr="t" fillcolor="#a0a0a0" stroked="f"/>
        </w:pict>
      </w:r>
    </w:p>
    <w:p w14:paraId="6DA4B55D" w14:textId="77777777" w:rsidR="00361210" w:rsidRDefault="00361210" w:rsidP="00361210">
      <w:pPr>
        <w:pStyle w:val="Heading4"/>
        <w:rPr>
          <w:color w:val="000000"/>
        </w:rPr>
      </w:pPr>
      <w:r>
        <w:rPr>
          <w:color w:val="000000"/>
        </w:rPr>
        <w:t>Card 4: Industry-Driven Performance Reporting</w:t>
      </w:r>
    </w:p>
    <w:p w14:paraId="62CE9437" w14:textId="77777777" w:rsidR="00361210" w:rsidRDefault="00361210" w:rsidP="00361210">
      <w:pPr>
        <w:pStyle w:val="NormalWeb"/>
        <w:rPr>
          <w:color w:val="000000"/>
        </w:rPr>
      </w:pPr>
      <w:r>
        <w:rPr>
          <w:color w:val="000000"/>
        </w:rPr>
        <w:t xml:space="preserve">This step transforms financials into operational insight by connecting margin and cash drivers to controllable actions such as pricing discipline, promotional effectiveness, and fulfillment economics. It also stabilizes performance interpretation by maintaining </w:t>
      </w:r>
      <w:r>
        <w:rPr>
          <w:color w:val="000000"/>
        </w:rPr>
        <w:lastRenderedPageBreak/>
        <w:t>consistent KPI definitions across channels so trends remain meaningful as the business evolves.</w:t>
      </w:r>
      <w:r>
        <w:rPr>
          <w:color w:val="000000"/>
        </w:rPr>
        <w:br/>
      </w:r>
      <w:r>
        <w:rPr>
          <w:rStyle w:val="Strong"/>
          <w:rFonts w:eastAsiaTheme="majorEastAsia"/>
          <w:color w:val="000000"/>
        </w:rPr>
        <w:t>Purpose</w:t>
      </w:r>
    </w:p>
    <w:p w14:paraId="2A18DD52" w14:textId="77777777" w:rsidR="00361210" w:rsidRDefault="00361210" w:rsidP="00361210">
      <w:pPr>
        <w:pStyle w:val="NormalWeb"/>
        <w:numPr>
          <w:ilvl w:val="0"/>
          <w:numId w:val="17"/>
        </w:numPr>
        <w:rPr>
          <w:color w:val="000000"/>
        </w:rPr>
      </w:pPr>
      <w:r>
        <w:rPr>
          <w:color w:val="000000"/>
        </w:rPr>
        <w:t>Deliver reporting that highlights profitability drivers and risk areas</w:t>
      </w:r>
    </w:p>
    <w:p w14:paraId="16EF5661" w14:textId="77777777" w:rsidR="00361210" w:rsidRDefault="00361210" w:rsidP="00361210">
      <w:pPr>
        <w:pStyle w:val="NormalWeb"/>
        <w:numPr>
          <w:ilvl w:val="0"/>
          <w:numId w:val="17"/>
        </w:numPr>
        <w:rPr>
          <w:color w:val="000000"/>
        </w:rPr>
      </w:pPr>
      <w:r>
        <w:rPr>
          <w:color w:val="000000"/>
        </w:rPr>
        <w:t>Provide visibility into cash flow timing, margins, and key variances</w:t>
      </w:r>
    </w:p>
    <w:p w14:paraId="76D17491" w14:textId="77777777" w:rsidR="00361210" w:rsidRDefault="00361210" w:rsidP="00361210">
      <w:pPr>
        <w:pStyle w:val="NormalWeb"/>
        <w:numPr>
          <w:ilvl w:val="0"/>
          <w:numId w:val="17"/>
        </w:numPr>
        <w:rPr>
          <w:color w:val="000000"/>
        </w:rPr>
      </w:pPr>
      <w:r>
        <w:rPr>
          <w:color w:val="000000"/>
        </w:rPr>
        <w:t>Support decision-ready insights with consistent reporting cadence</w:t>
      </w:r>
    </w:p>
    <w:p w14:paraId="5C71DAC1" w14:textId="77777777" w:rsidR="00361210" w:rsidRDefault="00361210" w:rsidP="00361210">
      <w:pPr>
        <w:pStyle w:val="NormalWeb"/>
        <w:rPr>
          <w:color w:val="000000"/>
        </w:rPr>
      </w:pPr>
      <w:r>
        <w:rPr>
          <w:rStyle w:val="Strong"/>
          <w:rFonts w:eastAsiaTheme="majorEastAsia"/>
          <w:color w:val="000000"/>
        </w:rPr>
        <w:t>Why It Matters</w:t>
      </w:r>
    </w:p>
    <w:p w14:paraId="16E21687" w14:textId="77777777" w:rsidR="00361210" w:rsidRDefault="00361210" w:rsidP="00361210">
      <w:pPr>
        <w:pStyle w:val="NormalWeb"/>
        <w:numPr>
          <w:ilvl w:val="0"/>
          <w:numId w:val="18"/>
        </w:numPr>
        <w:rPr>
          <w:color w:val="000000"/>
        </w:rPr>
      </w:pPr>
      <w:r>
        <w:rPr>
          <w:color w:val="000000"/>
        </w:rPr>
        <w:t>Improves decision confidence with timely, relevant visibility</w:t>
      </w:r>
    </w:p>
    <w:p w14:paraId="7A86E88B" w14:textId="77777777" w:rsidR="00361210" w:rsidRDefault="00361210" w:rsidP="00361210">
      <w:pPr>
        <w:pStyle w:val="NormalWeb"/>
        <w:numPr>
          <w:ilvl w:val="0"/>
          <w:numId w:val="18"/>
        </w:numPr>
        <w:rPr>
          <w:color w:val="000000"/>
        </w:rPr>
      </w:pPr>
      <w:r>
        <w:rPr>
          <w:color w:val="000000"/>
        </w:rPr>
        <w:t>Supports margin control and operational accountability</w:t>
      </w:r>
    </w:p>
    <w:p w14:paraId="249422D8" w14:textId="77777777" w:rsidR="00361210" w:rsidRDefault="00361210" w:rsidP="00361210">
      <w:pPr>
        <w:pStyle w:val="NormalWeb"/>
        <w:numPr>
          <w:ilvl w:val="0"/>
          <w:numId w:val="18"/>
        </w:numPr>
        <w:rPr>
          <w:color w:val="000000"/>
        </w:rPr>
      </w:pPr>
      <w:r>
        <w:rPr>
          <w:color w:val="000000"/>
        </w:rPr>
        <w:t>Builds trust in financial data for internal and external use</w:t>
      </w:r>
    </w:p>
    <w:p w14:paraId="6209862B" w14:textId="77777777" w:rsidR="00361210" w:rsidRDefault="00B03786" w:rsidP="00361210">
      <w:r>
        <w:rPr>
          <w:noProof/>
        </w:rPr>
        <w:pict w14:anchorId="665468F9">
          <v:rect id="_x0000_i1026" alt="" style="width:431.95pt;height:.05pt;mso-width-percent:0;mso-height-percent:0;mso-width-percent:0;mso-height-percent:0" o:hrpct="923" o:hralign="center" o:hrstd="t" o:hr="t" fillcolor="#a0a0a0" stroked="f"/>
        </w:pict>
      </w:r>
    </w:p>
    <w:p w14:paraId="226D0753" w14:textId="77777777" w:rsidR="00361210" w:rsidRDefault="00361210" w:rsidP="00361210">
      <w:pPr>
        <w:pStyle w:val="Heading4"/>
        <w:rPr>
          <w:color w:val="000000"/>
        </w:rPr>
      </w:pPr>
      <w:r>
        <w:rPr>
          <w:color w:val="000000"/>
        </w:rPr>
        <w:t>Card 5: Tax &amp; Compliance Alignment</w:t>
      </w:r>
    </w:p>
    <w:p w14:paraId="4BBEBD9D" w14:textId="77777777" w:rsidR="00361210" w:rsidRDefault="00361210" w:rsidP="00361210">
      <w:pPr>
        <w:pStyle w:val="NormalWeb"/>
        <w:rPr>
          <w:color w:val="000000"/>
        </w:rPr>
      </w:pPr>
      <w:r>
        <w:rPr>
          <w:color w:val="000000"/>
        </w:rPr>
        <w:t>This step aligns operational transaction detail to defensible compliance outcomes, including how taxes, fees, and multi-channel transactions are captured and supported. It also establishes documentation discipline so compliance positions remain explainable even when sales channels, payment methods, or jurisdictions expand.</w:t>
      </w:r>
      <w:r>
        <w:rPr>
          <w:color w:val="000000"/>
        </w:rPr>
        <w:br/>
      </w:r>
      <w:r>
        <w:rPr>
          <w:rStyle w:val="Strong"/>
          <w:rFonts w:eastAsiaTheme="majorEastAsia"/>
          <w:color w:val="000000"/>
        </w:rPr>
        <w:t>Purpose</w:t>
      </w:r>
    </w:p>
    <w:p w14:paraId="6F7D0E4B" w14:textId="77777777" w:rsidR="00361210" w:rsidRDefault="00361210" w:rsidP="00361210">
      <w:pPr>
        <w:pStyle w:val="NormalWeb"/>
        <w:numPr>
          <w:ilvl w:val="0"/>
          <w:numId w:val="19"/>
        </w:numPr>
        <w:rPr>
          <w:color w:val="000000"/>
        </w:rPr>
      </w:pPr>
      <w:r>
        <w:rPr>
          <w:color w:val="000000"/>
        </w:rPr>
        <w:t>Align reporting outputs to compliance and filing requirements</w:t>
      </w:r>
    </w:p>
    <w:p w14:paraId="2B9A406B" w14:textId="77777777" w:rsidR="00361210" w:rsidRDefault="00361210" w:rsidP="00361210">
      <w:pPr>
        <w:pStyle w:val="NormalWeb"/>
        <w:numPr>
          <w:ilvl w:val="0"/>
          <w:numId w:val="19"/>
        </w:numPr>
        <w:rPr>
          <w:color w:val="000000"/>
        </w:rPr>
      </w:pPr>
      <w:r>
        <w:rPr>
          <w:color w:val="000000"/>
        </w:rPr>
        <w:t>Identify exposure areas and documentation needs to support defensibility</w:t>
      </w:r>
    </w:p>
    <w:p w14:paraId="57A6155F" w14:textId="77777777" w:rsidR="00361210" w:rsidRDefault="00361210" w:rsidP="00361210">
      <w:pPr>
        <w:pStyle w:val="NormalWeb"/>
        <w:numPr>
          <w:ilvl w:val="0"/>
          <w:numId w:val="19"/>
        </w:numPr>
        <w:rPr>
          <w:color w:val="000000"/>
        </w:rPr>
      </w:pPr>
      <w:r>
        <w:rPr>
          <w:color w:val="000000"/>
        </w:rPr>
        <w:t>Coordinate planning considerations that improve predictability</w:t>
      </w:r>
    </w:p>
    <w:p w14:paraId="198EC8D0" w14:textId="77777777" w:rsidR="00361210" w:rsidRDefault="00361210" w:rsidP="00361210">
      <w:pPr>
        <w:pStyle w:val="NormalWeb"/>
        <w:rPr>
          <w:color w:val="000000"/>
        </w:rPr>
      </w:pPr>
      <w:r>
        <w:rPr>
          <w:rStyle w:val="Strong"/>
          <w:rFonts w:eastAsiaTheme="majorEastAsia"/>
          <w:color w:val="000000"/>
        </w:rPr>
        <w:t>Why It Matters</w:t>
      </w:r>
    </w:p>
    <w:p w14:paraId="15BA8B3D" w14:textId="77777777" w:rsidR="00361210" w:rsidRDefault="00361210" w:rsidP="00361210">
      <w:pPr>
        <w:pStyle w:val="NormalWeb"/>
        <w:numPr>
          <w:ilvl w:val="0"/>
          <w:numId w:val="20"/>
        </w:numPr>
        <w:rPr>
          <w:color w:val="000000"/>
        </w:rPr>
      </w:pPr>
      <w:r>
        <w:rPr>
          <w:color w:val="000000"/>
        </w:rPr>
        <w:t>Reduces compliance risk and avoidable penalties</w:t>
      </w:r>
    </w:p>
    <w:p w14:paraId="307C5510" w14:textId="77777777" w:rsidR="00361210" w:rsidRDefault="00361210" w:rsidP="00361210">
      <w:pPr>
        <w:pStyle w:val="NormalWeb"/>
        <w:numPr>
          <w:ilvl w:val="0"/>
          <w:numId w:val="20"/>
        </w:numPr>
        <w:rPr>
          <w:color w:val="000000"/>
        </w:rPr>
      </w:pPr>
      <w:r>
        <w:rPr>
          <w:color w:val="000000"/>
        </w:rPr>
        <w:t>Improves audit readiness through organized support</w:t>
      </w:r>
    </w:p>
    <w:p w14:paraId="2CD81F9B" w14:textId="77777777" w:rsidR="00361210" w:rsidRDefault="00361210" w:rsidP="00361210">
      <w:pPr>
        <w:pStyle w:val="NormalWeb"/>
        <w:numPr>
          <w:ilvl w:val="0"/>
          <w:numId w:val="20"/>
        </w:numPr>
        <w:rPr>
          <w:color w:val="000000"/>
        </w:rPr>
      </w:pPr>
      <w:r>
        <w:rPr>
          <w:color w:val="000000"/>
        </w:rPr>
        <w:t>Prevents last-minute surprises tied to incomplete records</w:t>
      </w:r>
    </w:p>
    <w:p w14:paraId="7A413A26" w14:textId="77777777" w:rsidR="00361210" w:rsidRDefault="00B03786" w:rsidP="00361210">
      <w:r>
        <w:rPr>
          <w:noProof/>
        </w:rPr>
        <w:pict w14:anchorId="42B47969">
          <v:rect id="_x0000_i1025" alt="" style="width:431.95pt;height:.05pt;mso-width-percent:0;mso-height-percent:0;mso-width-percent:0;mso-height-percent:0" o:hrpct="923" o:hralign="center" o:hrstd="t" o:hr="t" fillcolor="#a0a0a0" stroked="f"/>
        </w:pict>
      </w:r>
    </w:p>
    <w:p w14:paraId="3360B087" w14:textId="77777777" w:rsidR="00361210" w:rsidRDefault="00361210" w:rsidP="00361210">
      <w:pPr>
        <w:pStyle w:val="Heading4"/>
        <w:rPr>
          <w:color w:val="000000"/>
        </w:rPr>
      </w:pPr>
      <w:r>
        <w:rPr>
          <w:color w:val="000000"/>
        </w:rPr>
        <w:t>Card 6: Ongoing Monitoring &amp; Advisory Support</w:t>
      </w:r>
    </w:p>
    <w:p w14:paraId="1F60F41A" w14:textId="77777777" w:rsidR="00361210" w:rsidRDefault="00361210" w:rsidP="00361210">
      <w:pPr>
        <w:pStyle w:val="NormalWeb"/>
        <w:rPr>
          <w:color w:val="000000"/>
        </w:rPr>
      </w:pPr>
      <w:r>
        <w:rPr>
          <w:color w:val="000000"/>
        </w:rPr>
        <w:t>This step ensures the accounting and reporting model stays aligned as operational complexity increases (new products, new channels, pricing changes, expanded fulfillment models). It also provides a structured approach to resolving recurring friction points—by improving controls and governance—rather than repeatedly correcting the same issues each period.</w:t>
      </w:r>
      <w:r>
        <w:rPr>
          <w:color w:val="000000"/>
        </w:rPr>
        <w:br/>
      </w:r>
      <w:r>
        <w:rPr>
          <w:rStyle w:val="Strong"/>
          <w:rFonts w:eastAsiaTheme="majorEastAsia"/>
          <w:color w:val="000000"/>
        </w:rPr>
        <w:t>Purpose</w:t>
      </w:r>
    </w:p>
    <w:p w14:paraId="658140BE" w14:textId="77777777" w:rsidR="00361210" w:rsidRDefault="00361210" w:rsidP="00361210">
      <w:pPr>
        <w:pStyle w:val="NormalWeb"/>
        <w:numPr>
          <w:ilvl w:val="0"/>
          <w:numId w:val="21"/>
        </w:numPr>
        <w:rPr>
          <w:color w:val="000000"/>
        </w:rPr>
      </w:pPr>
      <w:r>
        <w:rPr>
          <w:color w:val="000000"/>
        </w:rPr>
        <w:t>Monitor changes in operations that impact reporting and compliance</w:t>
      </w:r>
    </w:p>
    <w:p w14:paraId="2A9D94D0" w14:textId="77777777" w:rsidR="00361210" w:rsidRDefault="00361210" w:rsidP="00361210">
      <w:pPr>
        <w:pStyle w:val="NormalWeb"/>
        <w:numPr>
          <w:ilvl w:val="0"/>
          <w:numId w:val="21"/>
        </w:numPr>
        <w:rPr>
          <w:color w:val="000000"/>
        </w:rPr>
      </w:pPr>
      <w:r>
        <w:rPr>
          <w:color w:val="000000"/>
        </w:rPr>
        <w:lastRenderedPageBreak/>
        <w:t>Recommend adjustments to improve controls and efficiency</w:t>
      </w:r>
    </w:p>
    <w:p w14:paraId="7A62B697" w14:textId="77777777" w:rsidR="00361210" w:rsidRDefault="00361210" w:rsidP="00361210">
      <w:pPr>
        <w:pStyle w:val="NormalWeb"/>
        <w:numPr>
          <w:ilvl w:val="0"/>
          <w:numId w:val="21"/>
        </w:numPr>
        <w:rPr>
          <w:color w:val="000000"/>
        </w:rPr>
      </w:pPr>
      <w:r>
        <w:rPr>
          <w:color w:val="000000"/>
        </w:rPr>
        <w:t>Support growth, financing, and stakeholder readiness as needed</w:t>
      </w:r>
    </w:p>
    <w:p w14:paraId="3803C68D" w14:textId="77777777" w:rsidR="00361210" w:rsidRDefault="00361210" w:rsidP="00361210">
      <w:pPr>
        <w:pStyle w:val="NormalWeb"/>
        <w:rPr>
          <w:color w:val="000000"/>
        </w:rPr>
      </w:pPr>
      <w:r>
        <w:rPr>
          <w:rStyle w:val="Strong"/>
          <w:rFonts w:eastAsiaTheme="majorEastAsia"/>
          <w:color w:val="000000"/>
        </w:rPr>
        <w:t>Why It Matters</w:t>
      </w:r>
    </w:p>
    <w:p w14:paraId="03E4E744" w14:textId="77777777" w:rsidR="00361210" w:rsidRDefault="00361210" w:rsidP="00361210">
      <w:pPr>
        <w:pStyle w:val="NormalWeb"/>
        <w:numPr>
          <w:ilvl w:val="0"/>
          <w:numId w:val="22"/>
        </w:numPr>
        <w:rPr>
          <w:color w:val="000000"/>
        </w:rPr>
      </w:pPr>
      <w:r>
        <w:rPr>
          <w:color w:val="000000"/>
        </w:rPr>
        <w:t>Keeps financial discipline aligned as complexity increases</w:t>
      </w:r>
    </w:p>
    <w:p w14:paraId="7F88DF96" w14:textId="77777777" w:rsidR="00361210" w:rsidRDefault="00361210" w:rsidP="00361210">
      <w:pPr>
        <w:pStyle w:val="NormalWeb"/>
        <w:numPr>
          <w:ilvl w:val="0"/>
          <w:numId w:val="22"/>
        </w:numPr>
        <w:rPr>
          <w:color w:val="000000"/>
        </w:rPr>
      </w:pPr>
      <w:r>
        <w:rPr>
          <w:color w:val="000000"/>
        </w:rPr>
        <w:t>Improves scalability without sacrificing control</w:t>
      </w:r>
    </w:p>
    <w:p w14:paraId="40F66D10" w14:textId="77777777" w:rsidR="00361210" w:rsidRDefault="00361210" w:rsidP="00361210">
      <w:pPr>
        <w:pStyle w:val="NormalWeb"/>
        <w:numPr>
          <w:ilvl w:val="0"/>
          <w:numId w:val="22"/>
        </w:numPr>
        <w:rPr>
          <w:color w:val="000000"/>
        </w:rPr>
      </w:pPr>
      <w:r>
        <w:rPr>
          <w:color w:val="000000"/>
        </w:rPr>
        <w:t>Strengthens long-term reliability and credibility</w:t>
      </w:r>
    </w:p>
    <w:p w14:paraId="0B57DD98" w14:textId="09935D02" w:rsidR="00CF28DA" w:rsidRDefault="00CF28DA" w:rsidP="00361210">
      <w:pPr>
        <w:pStyle w:val="ListBullet"/>
        <w:numPr>
          <w:ilvl w:val="0"/>
          <w:numId w:val="0"/>
        </w:numPr>
      </w:pPr>
    </w:p>
    <w:sectPr w:rsidR="00CF28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54A8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361F3"/>
    <w:multiLevelType w:val="multilevel"/>
    <w:tmpl w:val="E484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20CB1"/>
    <w:multiLevelType w:val="multilevel"/>
    <w:tmpl w:val="1A2E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36809"/>
    <w:multiLevelType w:val="multilevel"/>
    <w:tmpl w:val="BBDA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44D2C"/>
    <w:multiLevelType w:val="multilevel"/>
    <w:tmpl w:val="C0D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4364F"/>
    <w:multiLevelType w:val="multilevel"/>
    <w:tmpl w:val="608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7130E"/>
    <w:multiLevelType w:val="multilevel"/>
    <w:tmpl w:val="69B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17196"/>
    <w:multiLevelType w:val="multilevel"/>
    <w:tmpl w:val="9868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83E9F"/>
    <w:multiLevelType w:val="multilevel"/>
    <w:tmpl w:val="26B4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85697"/>
    <w:multiLevelType w:val="multilevel"/>
    <w:tmpl w:val="6584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E287E"/>
    <w:multiLevelType w:val="multilevel"/>
    <w:tmpl w:val="397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169AE"/>
    <w:multiLevelType w:val="multilevel"/>
    <w:tmpl w:val="2532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7344E"/>
    <w:multiLevelType w:val="multilevel"/>
    <w:tmpl w:val="9122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F1859"/>
    <w:multiLevelType w:val="multilevel"/>
    <w:tmpl w:val="AD4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0578">
    <w:abstractNumId w:val="8"/>
  </w:num>
  <w:num w:numId="2" w16cid:durableId="1701781366">
    <w:abstractNumId w:val="6"/>
  </w:num>
  <w:num w:numId="3" w16cid:durableId="647979483">
    <w:abstractNumId w:val="5"/>
  </w:num>
  <w:num w:numId="4" w16cid:durableId="388505080">
    <w:abstractNumId w:val="4"/>
  </w:num>
  <w:num w:numId="5" w16cid:durableId="802507694">
    <w:abstractNumId w:val="7"/>
  </w:num>
  <w:num w:numId="6" w16cid:durableId="1260406444">
    <w:abstractNumId w:val="3"/>
  </w:num>
  <w:num w:numId="7" w16cid:durableId="1536231781">
    <w:abstractNumId w:val="2"/>
  </w:num>
  <w:num w:numId="8" w16cid:durableId="287014043">
    <w:abstractNumId w:val="1"/>
  </w:num>
  <w:num w:numId="9" w16cid:durableId="149367329">
    <w:abstractNumId w:val="0"/>
  </w:num>
  <w:num w:numId="10" w16cid:durableId="805857251">
    <w:abstractNumId w:val="15"/>
  </w:num>
  <w:num w:numId="11" w16cid:durableId="1393236674">
    <w:abstractNumId w:val="17"/>
  </w:num>
  <w:num w:numId="12" w16cid:durableId="1162115583">
    <w:abstractNumId w:val="18"/>
  </w:num>
  <w:num w:numId="13" w16cid:durableId="1342120436">
    <w:abstractNumId w:val="9"/>
  </w:num>
  <w:num w:numId="14" w16cid:durableId="210650650">
    <w:abstractNumId w:val="20"/>
  </w:num>
  <w:num w:numId="15" w16cid:durableId="1869099882">
    <w:abstractNumId w:val="12"/>
  </w:num>
  <w:num w:numId="16" w16cid:durableId="1962882541">
    <w:abstractNumId w:val="13"/>
  </w:num>
  <w:num w:numId="17" w16cid:durableId="257911588">
    <w:abstractNumId w:val="11"/>
  </w:num>
  <w:num w:numId="18" w16cid:durableId="1944457867">
    <w:abstractNumId w:val="14"/>
  </w:num>
  <w:num w:numId="19" w16cid:durableId="674498494">
    <w:abstractNumId w:val="10"/>
  </w:num>
  <w:num w:numId="20" w16cid:durableId="932130358">
    <w:abstractNumId w:val="16"/>
  </w:num>
  <w:num w:numId="21" w16cid:durableId="1763212984">
    <w:abstractNumId w:val="21"/>
  </w:num>
  <w:num w:numId="22" w16cid:durableId="7093751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210"/>
    <w:rsid w:val="00AA1D8D"/>
    <w:rsid w:val="00B03786"/>
    <w:rsid w:val="00B47730"/>
    <w:rsid w:val="00CB0664"/>
    <w:rsid w:val="00CD6F65"/>
    <w:rsid w:val="00CF28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2A630"/>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612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61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704</Words>
  <Characters>5065</Characters>
  <Application>Microsoft Office Word</Application>
  <DocSecurity>0</DocSecurity>
  <Lines>110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2026-02-01T19:19:00Z</dcterms:modified>
  <cp:category/>
</cp:coreProperties>
</file>