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8CE0" w14:textId="77777777" w:rsidR="007A643D" w:rsidRPr="007A643D" w:rsidRDefault="007A643D" w:rsidP="007A64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643D">
        <w:rPr>
          <w:rFonts w:ascii="Times New Roman" w:eastAsia="Times New Roman" w:hAnsi="Times New Roman" w:cs="Times New Roman"/>
          <w:b/>
          <w:bCs/>
          <w:color w:val="000000"/>
          <w:kern w:val="0"/>
          <w:sz w:val="36"/>
          <w:szCs w:val="36"/>
          <w14:ligatures w14:val="none"/>
        </w:rPr>
        <w:t>Tax Debt Resolution</w:t>
      </w:r>
    </w:p>
    <w:p w14:paraId="0A194132"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Tax Debt Resolution provides structured support to address unpaid tax balances through controlled evaluation, negotiation, and documented submissions. When liabilities, penalties, and collection actions are handled reactively, taxpayers often miss viable relief pathways or create unnecessary exposure through inconsistent communications. Quantum uses a governance-first, control-driven approach grounded in Clarity, Consistency, Compliance, Communication, Control, and Comprehensiveness to evaluate options, build defensible requests, and manage interactions with tax authorities. The outcome is a practical resolution path aligned to financial reality, reduced penalty exposure where relief is available, and a documented plan to prevent repeat issues.</w:t>
      </w:r>
    </w:p>
    <w:p w14:paraId="05E6CEA5"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9CABB0">
          <v:rect id="_x0000_i1031" alt="" style="width:468pt;height:.05pt;mso-width-percent:0;mso-height-percent:0;mso-width-percent:0;mso-height-percent:0" o:hralign="center" o:hrstd="t" o:hr="t" fillcolor="#a0a0a0" stroked="f"/>
        </w:pict>
      </w:r>
    </w:p>
    <w:p w14:paraId="02923B41" w14:textId="77777777" w:rsidR="007A643D" w:rsidRPr="007A643D" w:rsidRDefault="007A643D" w:rsidP="007A64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643D">
        <w:rPr>
          <w:rFonts w:ascii="Times New Roman" w:eastAsia="Times New Roman" w:hAnsi="Times New Roman" w:cs="Times New Roman"/>
          <w:b/>
          <w:bCs/>
          <w:color w:val="000000"/>
          <w:kern w:val="0"/>
          <w:sz w:val="36"/>
          <w:szCs w:val="36"/>
          <w14:ligatures w14:val="none"/>
        </w:rPr>
        <w:t>Service Cards (Website Tiles)</w:t>
      </w:r>
    </w:p>
    <w:p w14:paraId="3EF7DFA4"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1 — Case Intake &amp; Collection Risk Triage</w:t>
      </w:r>
    </w:p>
    <w:p w14:paraId="464B64CE"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We begin by clarifying the amount owed, the type of tax involved, current status (notices, collections, liens/levies), and the immediate deadlines that could escalate the matter. We establish a controlled communication protocol and define what information must be gathered first to avoid delays and missteps. This creates a disciplined starting point for selecting the right resolution path.</w:t>
      </w:r>
    </w:p>
    <w:p w14:paraId="55671597"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Purpose:</w:t>
      </w:r>
    </w:p>
    <w:p w14:paraId="6EB42B21" w14:textId="77777777" w:rsidR="007A643D" w:rsidRPr="007A643D" w:rsidRDefault="007A643D" w:rsidP="007A64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Confirm liability scope, status, deadlines, and escalation risks</w:t>
      </w:r>
    </w:p>
    <w:p w14:paraId="10E772B3" w14:textId="77777777" w:rsidR="007A643D" w:rsidRPr="007A643D" w:rsidRDefault="007A643D" w:rsidP="007A64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Establish communication protocol and case ownership</w:t>
      </w:r>
    </w:p>
    <w:p w14:paraId="1A27EB1C" w14:textId="77777777" w:rsidR="007A643D" w:rsidRPr="007A643D" w:rsidRDefault="007A643D" w:rsidP="007A64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Define the initial documentation and data requirements</w:t>
      </w:r>
    </w:p>
    <w:p w14:paraId="08735FDA"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4D30D708" w14:textId="77777777" w:rsidR="007A643D" w:rsidRPr="007A643D" w:rsidRDefault="007A643D" w:rsidP="007A64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Prevents avoidable escalation driven by missed deadlines</w:t>
      </w:r>
    </w:p>
    <w:p w14:paraId="65B62785" w14:textId="77777777" w:rsidR="007A643D" w:rsidRPr="007A643D" w:rsidRDefault="007A643D" w:rsidP="007A64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Creates a clear, controlled response pathway</w:t>
      </w:r>
    </w:p>
    <w:p w14:paraId="1816FC73" w14:textId="77777777" w:rsidR="007A643D" w:rsidRPr="007A643D" w:rsidRDefault="007A643D" w:rsidP="007A64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Improves early visibility into constraints and options</w:t>
      </w:r>
    </w:p>
    <w:p w14:paraId="44DF872B"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6E0DDE">
          <v:rect id="_x0000_i1030" alt="" style="width:468pt;height:.05pt;mso-width-percent:0;mso-height-percent:0;mso-width-percent:0;mso-height-percent:0" o:hralign="center" o:hrstd="t" o:hr="t" fillcolor="#a0a0a0" stroked="f"/>
        </w:pict>
      </w:r>
    </w:p>
    <w:p w14:paraId="4E5149B9"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2 — Financial Profile &amp; Ability-to-Pay Assessment</w:t>
      </w:r>
    </w:p>
    <w:p w14:paraId="1F861487"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 xml:space="preserve">We evaluate your financial reality—income, expenses, assets, and cash flow—to determine what resolution options are realistic and sustainable. This step is focused on accuracy and </w:t>
      </w:r>
      <w:r w:rsidRPr="007A643D">
        <w:rPr>
          <w:rFonts w:ascii="Times New Roman" w:eastAsia="Times New Roman" w:hAnsi="Times New Roman" w:cs="Times New Roman"/>
          <w:color w:val="000000"/>
          <w:kern w:val="0"/>
          <w14:ligatures w14:val="none"/>
        </w:rPr>
        <w:lastRenderedPageBreak/>
        <w:t>defensibility, because the numbers you present drive eligibility and negotiation leverage. The result is a fact-based baseline for decision-making and submissions.</w:t>
      </w:r>
    </w:p>
    <w:p w14:paraId="75CE3C1B"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Purpose:</w:t>
      </w:r>
    </w:p>
    <w:p w14:paraId="03E4D970" w14:textId="77777777" w:rsidR="007A643D" w:rsidRPr="007A643D" w:rsidRDefault="007A643D" w:rsidP="007A64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Assess cash flow, assets, obligations, and constraints</w:t>
      </w:r>
    </w:p>
    <w:p w14:paraId="7D765A4D" w14:textId="77777777" w:rsidR="007A643D" w:rsidRPr="007A643D" w:rsidRDefault="007A643D" w:rsidP="007A64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Determine ability-to-pay and sustainability of options</w:t>
      </w:r>
    </w:p>
    <w:p w14:paraId="40733A27" w14:textId="77777777" w:rsidR="007A643D" w:rsidRPr="007A643D" w:rsidRDefault="007A643D" w:rsidP="007A64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Establish a defensible financial baseline for submissions</w:t>
      </w:r>
    </w:p>
    <w:p w14:paraId="1F8ABF83"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28E1DA29" w14:textId="77777777" w:rsidR="007A643D" w:rsidRPr="007A643D" w:rsidRDefault="007A643D" w:rsidP="007A64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Improves eligibility alignment and reduces rework</w:t>
      </w:r>
    </w:p>
    <w:p w14:paraId="7B7B1B00" w14:textId="77777777" w:rsidR="007A643D" w:rsidRPr="007A643D" w:rsidRDefault="007A643D" w:rsidP="007A64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Prevents unrealistic agreements that fail later</w:t>
      </w:r>
    </w:p>
    <w:p w14:paraId="3CC7D379" w14:textId="77777777" w:rsidR="007A643D" w:rsidRPr="007A643D" w:rsidRDefault="007A643D" w:rsidP="007A64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Strengthens credibility during review and negotiation</w:t>
      </w:r>
    </w:p>
    <w:p w14:paraId="5908A831"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C555C7">
          <v:rect id="_x0000_i1029" alt="" style="width:468pt;height:.05pt;mso-width-percent:0;mso-height-percent:0;mso-width-percent:0;mso-height-percent:0" o:hralign="center" o:hrstd="t" o:hr="t" fillcolor="#a0a0a0" stroked="f"/>
        </w:pict>
      </w:r>
    </w:p>
    <w:p w14:paraId="3C293478"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3 — Resolution Strategy &amp; Option Selection</w:t>
      </w:r>
    </w:p>
    <w:p w14:paraId="13CEC32D"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Based on the assessment, we identify the most appropriate pathway—such as installment arrangements, temporary hardship positioning where applicable, or compromise-based strategies—aligned to your financial constraints and risk profile. We outline tradeoffs, timing, documentation expectations, and compliance requirements so you can choose confidently. Strategy is designed to be executable, not theoretical.</w:t>
      </w:r>
    </w:p>
    <w:p w14:paraId="7E22582E"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Purpose:</w:t>
      </w:r>
    </w:p>
    <w:p w14:paraId="069DDDD1" w14:textId="77777777" w:rsidR="007A643D" w:rsidRPr="007A643D" w:rsidRDefault="007A643D" w:rsidP="007A64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Evaluate available resolution pathways and requirements</w:t>
      </w:r>
    </w:p>
    <w:p w14:paraId="71534D33" w14:textId="77777777" w:rsidR="007A643D" w:rsidRPr="007A643D" w:rsidRDefault="007A643D" w:rsidP="007A64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Compare tradeoffs, timelines, and compliance obligations</w:t>
      </w:r>
    </w:p>
    <w:p w14:paraId="23C59929" w14:textId="77777777" w:rsidR="007A643D" w:rsidRPr="007A643D" w:rsidRDefault="007A643D" w:rsidP="007A64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Select a practical strategy aligned to financial reality</w:t>
      </w:r>
    </w:p>
    <w:p w14:paraId="6E91887E"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602E385E" w14:textId="77777777" w:rsidR="007A643D" w:rsidRPr="007A643D" w:rsidRDefault="007A643D" w:rsidP="007A64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Reduces guesswork and improves decision clarity</w:t>
      </w:r>
    </w:p>
    <w:p w14:paraId="68354BE2" w14:textId="77777777" w:rsidR="007A643D" w:rsidRPr="007A643D" w:rsidRDefault="007A643D" w:rsidP="007A64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Avoids pursuing options that are unlikely to succeed</w:t>
      </w:r>
    </w:p>
    <w:p w14:paraId="5FACFFDB" w14:textId="77777777" w:rsidR="007A643D" w:rsidRPr="007A643D" w:rsidRDefault="007A643D" w:rsidP="007A64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Creates a plan that can be maintained without disruption</w:t>
      </w:r>
    </w:p>
    <w:p w14:paraId="0AE05DD6"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84D1A2">
          <v:rect id="_x0000_i1028" alt="" style="width:468pt;height:.05pt;mso-width-percent:0;mso-height-percent:0;mso-width-percent:0;mso-height-percent:0" o:hralign="center" o:hrstd="t" o:hr="t" fillcolor="#a0a0a0" stroked="f"/>
        </w:pict>
      </w:r>
    </w:p>
    <w:p w14:paraId="5C7C9616"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4 — Penalty Relief &amp; Interest Mitigation Support</w:t>
      </w:r>
    </w:p>
    <w:p w14:paraId="32969E70"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 xml:space="preserve">Where relief is available, we prepare a documented approach to reduce penalties using defensible grounds (for example, reasonable-cause documentation or first-time relief eligibility, when </w:t>
      </w:r>
      <w:r w:rsidRPr="007A643D">
        <w:rPr>
          <w:rFonts w:ascii="Times New Roman" w:eastAsia="Times New Roman" w:hAnsi="Times New Roman" w:cs="Times New Roman"/>
          <w:color w:val="000000"/>
          <w:kern w:val="0"/>
          <w14:ligatures w14:val="none"/>
        </w:rPr>
        <w:lastRenderedPageBreak/>
        <w:t>applicable). We focus on building a clean narrative supported by evidence and consistent submissions. This step targets avoidable cost while preserving credibility.</w:t>
      </w:r>
    </w:p>
    <w:p w14:paraId="5748FD5C"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Purpose:</w:t>
      </w:r>
    </w:p>
    <w:p w14:paraId="262CA7FC" w14:textId="77777777" w:rsidR="007A643D" w:rsidRPr="007A643D" w:rsidRDefault="007A643D" w:rsidP="007A64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Identify penalty relief pathways that may apply</w:t>
      </w:r>
    </w:p>
    <w:p w14:paraId="1A35482A" w14:textId="77777777" w:rsidR="007A643D" w:rsidRPr="007A643D" w:rsidRDefault="007A643D" w:rsidP="007A64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Assemble documentation and rationale to support relief requests</w:t>
      </w:r>
    </w:p>
    <w:p w14:paraId="091E3007" w14:textId="77777777" w:rsidR="007A643D" w:rsidRPr="007A643D" w:rsidRDefault="007A643D" w:rsidP="007A64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Submit relief requests in a controlled, traceable manner</w:t>
      </w:r>
    </w:p>
    <w:p w14:paraId="66253BEE"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3D790CED" w14:textId="77777777" w:rsidR="007A643D" w:rsidRPr="007A643D" w:rsidRDefault="007A643D" w:rsidP="007A64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Reduces avoidable financial burden where relief is available</w:t>
      </w:r>
    </w:p>
    <w:p w14:paraId="67F1B66A" w14:textId="77777777" w:rsidR="007A643D" w:rsidRPr="007A643D" w:rsidRDefault="007A643D" w:rsidP="007A64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Improves defensibility through organized evidence and rationale</w:t>
      </w:r>
    </w:p>
    <w:p w14:paraId="3EEFE3F0" w14:textId="77777777" w:rsidR="007A643D" w:rsidRPr="007A643D" w:rsidRDefault="007A643D" w:rsidP="007A64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Prevents inconsistent requests that weaken credibility</w:t>
      </w:r>
    </w:p>
    <w:p w14:paraId="14084974"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4A2AE7">
          <v:rect id="_x0000_i1027" alt="" style="width:468pt;height:.05pt;mso-width-percent:0;mso-height-percent:0;mso-width-percent:0;mso-height-percent:0" o:hralign="center" o:hrstd="t" o:hr="t" fillcolor="#a0a0a0" stroked="f"/>
        </w:pict>
      </w:r>
    </w:p>
    <w:p w14:paraId="1CF6A3C3"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5 — Submission, Negotiation &amp; Agreement Execution</w:t>
      </w:r>
    </w:p>
    <w:p w14:paraId="3CF5214B"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We manage submissions and negotiations through a structured process—tracking what was submitted, when, and how the response aligns to the strategy. If an agreement is reached, we help confirm terms, required follow-through, and the compliance conditions needed to keep the agreement in good standing. Execution is treated as a control process, not an afterthought.</w:t>
      </w:r>
    </w:p>
    <w:p w14:paraId="230B0F97"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Purpose:</w:t>
      </w:r>
    </w:p>
    <w:p w14:paraId="7A61E96C" w14:textId="77777777" w:rsidR="007A643D" w:rsidRPr="007A643D" w:rsidRDefault="007A643D" w:rsidP="007A64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Prepare and submit required forms, schedules, and supporting packages</w:t>
      </w:r>
    </w:p>
    <w:p w14:paraId="1944BEB6" w14:textId="77777777" w:rsidR="007A643D" w:rsidRPr="007A643D" w:rsidRDefault="007A643D" w:rsidP="007A64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Manage negotiations and document all decision points</w:t>
      </w:r>
    </w:p>
    <w:p w14:paraId="7D5503EF" w14:textId="77777777" w:rsidR="007A643D" w:rsidRPr="007A643D" w:rsidRDefault="007A643D" w:rsidP="007A64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Confirm agreement terms and implementation requirements</w:t>
      </w:r>
    </w:p>
    <w:p w14:paraId="4184F464"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24A070E1" w14:textId="77777777" w:rsidR="007A643D" w:rsidRPr="007A643D" w:rsidRDefault="007A643D" w:rsidP="007A64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Improves predictability and reduces back-and-forth</w:t>
      </w:r>
    </w:p>
    <w:p w14:paraId="3A172554" w14:textId="77777777" w:rsidR="007A643D" w:rsidRPr="007A643D" w:rsidRDefault="007A643D" w:rsidP="007A64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Prevents breakdowns caused by incomplete submissions</w:t>
      </w:r>
    </w:p>
    <w:p w14:paraId="24FFED32" w14:textId="77777777" w:rsidR="007A643D" w:rsidRPr="007A643D" w:rsidRDefault="007A643D" w:rsidP="007A64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Ensures the resolution remains valid through disciplined follow-through</w:t>
      </w:r>
    </w:p>
    <w:p w14:paraId="093B5D4D"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A9929A">
          <v:rect id="_x0000_i1026" alt="" style="width:468pt;height:.05pt;mso-width-percent:0;mso-height-percent:0;mso-width-percent:0;mso-height-percent:0" o:hralign="center" o:hrstd="t" o:hr="t" fillcolor="#a0a0a0" stroked="f"/>
        </w:pict>
      </w:r>
    </w:p>
    <w:p w14:paraId="4577070C"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6 — Appeals Strategy &amp; Formal Challenge Support</w:t>
      </w:r>
    </w:p>
    <w:p w14:paraId="02563A6B"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If a decision is unfavorable or a proposed outcome is not reasonable, we support formal challenge pathways through the appeals process where appropriate. We structure arguments, documentation, and timelines so escalation is controlled and consistent. The goal is to pursue a better outcome without creating added procedural risk.</w:t>
      </w:r>
    </w:p>
    <w:p w14:paraId="410BD34B"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lastRenderedPageBreak/>
        <w:t>Purpose:</w:t>
      </w:r>
    </w:p>
    <w:p w14:paraId="7DB5B578" w14:textId="77777777" w:rsidR="007A643D" w:rsidRPr="007A643D" w:rsidRDefault="007A643D" w:rsidP="007A64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Evaluate whether appeal is appropriate and viable</w:t>
      </w:r>
    </w:p>
    <w:p w14:paraId="3EFFA98A" w14:textId="77777777" w:rsidR="007A643D" w:rsidRPr="007A643D" w:rsidRDefault="007A643D" w:rsidP="007A64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Prepare a structured appeals submission with supporting documentation</w:t>
      </w:r>
    </w:p>
    <w:p w14:paraId="7117F104" w14:textId="77777777" w:rsidR="007A643D" w:rsidRPr="007A643D" w:rsidRDefault="007A643D" w:rsidP="007A64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Manage timelines, communications, and escalation steps</w:t>
      </w:r>
    </w:p>
    <w:p w14:paraId="3E861725"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3932C779" w14:textId="77777777" w:rsidR="007A643D" w:rsidRPr="007A643D" w:rsidRDefault="007A643D" w:rsidP="007A64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Challenges unfavorable outcomes through a formal, disciplined pathway</w:t>
      </w:r>
    </w:p>
    <w:p w14:paraId="6C1B4F69" w14:textId="77777777" w:rsidR="007A643D" w:rsidRPr="007A643D" w:rsidRDefault="007A643D" w:rsidP="007A64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Reduces risk of procedural missteps during escalation</w:t>
      </w:r>
    </w:p>
    <w:p w14:paraId="6EC262E8" w14:textId="77777777" w:rsidR="007A643D" w:rsidRPr="007A643D" w:rsidRDefault="007A643D" w:rsidP="007A64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Improves the quality and credibility of the case presentation</w:t>
      </w:r>
    </w:p>
    <w:p w14:paraId="3259508C" w14:textId="77777777" w:rsidR="007A643D" w:rsidRPr="007A643D" w:rsidRDefault="00264C5F" w:rsidP="007A64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97B380">
          <v:rect id="_x0000_i1025" alt="" style="width:468pt;height:.05pt;mso-width-percent:0;mso-height-percent:0;mso-width-percent:0;mso-height-percent:0" o:hralign="center" o:hrstd="t" o:hr="t" fillcolor="#a0a0a0" stroked="f"/>
        </w:pict>
      </w:r>
    </w:p>
    <w:p w14:paraId="2773E4DA" w14:textId="77777777" w:rsidR="007A643D" w:rsidRPr="007A643D" w:rsidRDefault="007A643D" w:rsidP="007A64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643D">
        <w:rPr>
          <w:rFonts w:ascii="Times New Roman" w:eastAsia="Times New Roman" w:hAnsi="Times New Roman" w:cs="Times New Roman"/>
          <w:b/>
          <w:bCs/>
          <w:color w:val="000000"/>
          <w:kern w:val="0"/>
          <w:sz w:val="27"/>
          <w:szCs w:val="27"/>
          <w14:ligatures w14:val="none"/>
        </w:rPr>
        <w:t>Card 7 — Compliance Stabilization &amp; Prevention Plan</w:t>
      </w:r>
    </w:p>
    <w:p w14:paraId="241F3871"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Description (3–4 sentences):</w:t>
      </w:r>
      <w:r w:rsidRPr="007A643D">
        <w:rPr>
          <w:rFonts w:ascii="Times New Roman" w:eastAsia="Times New Roman" w:hAnsi="Times New Roman" w:cs="Times New Roman"/>
          <w:color w:val="000000"/>
          <w:kern w:val="0"/>
          <w14:ligatures w14:val="none"/>
        </w:rPr>
        <w:br/>
        <w:t>Resolution is only durable if compliance stays current afterward. We help establish practical controls—estimated payments/withholding adjustments, filing calendars, and documentation discipline—to reduce the risk of new balances emerging. This closes the loop by converting resolution into ongoing readiness.</w:t>
      </w:r>
    </w:p>
    <w:p w14:paraId="5CC51832"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Purpose:</w:t>
      </w:r>
    </w:p>
    <w:p w14:paraId="103E2B81" w14:textId="77777777" w:rsidR="007A643D" w:rsidRPr="007A643D" w:rsidRDefault="007A643D" w:rsidP="007A64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Stabilize filing and payment discipline going forward</w:t>
      </w:r>
    </w:p>
    <w:p w14:paraId="3C17B893" w14:textId="77777777" w:rsidR="007A643D" w:rsidRPr="007A643D" w:rsidRDefault="007A643D" w:rsidP="007A64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Align withholding/estimates to reduce future underpayment risk</w:t>
      </w:r>
    </w:p>
    <w:p w14:paraId="7510A888" w14:textId="77777777" w:rsidR="007A643D" w:rsidRPr="007A643D" w:rsidRDefault="007A643D" w:rsidP="007A64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Implement simple controls and reminders to sustain compliance</w:t>
      </w:r>
    </w:p>
    <w:p w14:paraId="1B1E4E0A" w14:textId="77777777" w:rsidR="007A643D" w:rsidRPr="007A643D" w:rsidRDefault="007A643D" w:rsidP="007A643D">
      <w:p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b/>
          <w:bCs/>
          <w:color w:val="000000"/>
          <w:kern w:val="0"/>
          <w14:ligatures w14:val="none"/>
        </w:rPr>
        <w:t>Why It Matters:</w:t>
      </w:r>
    </w:p>
    <w:p w14:paraId="74A48702" w14:textId="77777777" w:rsidR="007A643D" w:rsidRPr="007A643D" w:rsidRDefault="007A643D" w:rsidP="007A64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Prevents repeat debt and recurring enforcement cycles</w:t>
      </w:r>
    </w:p>
    <w:p w14:paraId="66DC4C76" w14:textId="77777777" w:rsidR="007A643D" w:rsidRPr="007A643D" w:rsidRDefault="007A643D" w:rsidP="007A64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Improves long-term predictability and financial control</w:t>
      </w:r>
    </w:p>
    <w:p w14:paraId="2C6E4AEC" w14:textId="77777777" w:rsidR="007A643D" w:rsidRPr="007A643D" w:rsidRDefault="007A643D" w:rsidP="007A64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643D">
        <w:rPr>
          <w:rFonts w:ascii="Times New Roman" w:eastAsia="Times New Roman" w:hAnsi="Times New Roman" w:cs="Times New Roman"/>
          <w:color w:val="000000"/>
          <w:kern w:val="0"/>
          <w14:ligatures w14:val="none"/>
        </w:rPr>
        <w:t>Reduces future penalty exposure through proactive discipline</w:t>
      </w:r>
    </w:p>
    <w:p w14:paraId="303A9D2E" w14:textId="77777777" w:rsidR="007A643D" w:rsidRDefault="007A643D"/>
    <w:sectPr w:rsidR="007A6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A6A"/>
    <w:multiLevelType w:val="multilevel"/>
    <w:tmpl w:val="9A2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EE5"/>
    <w:multiLevelType w:val="multilevel"/>
    <w:tmpl w:val="23DE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30058"/>
    <w:multiLevelType w:val="multilevel"/>
    <w:tmpl w:val="AE6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C1E9F"/>
    <w:multiLevelType w:val="multilevel"/>
    <w:tmpl w:val="046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C0CED"/>
    <w:multiLevelType w:val="multilevel"/>
    <w:tmpl w:val="46E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142C1"/>
    <w:multiLevelType w:val="multilevel"/>
    <w:tmpl w:val="2DD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E4F7B"/>
    <w:multiLevelType w:val="multilevel"/>
    <w:tmpl w:val="BA8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C001A"/>
    <w:multiLevelType w:val="multilevel"/>
    <w:tmpl w:val="433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167A6"/>
    <w:multiLevelType w:val="multilevel"/>
    <w:tmpl w:val="51A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F5C24"/>
    <w:multiLevelType w:val="multilevel"/>
    <w:tmpl w:val="5B0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36EAB"/>
    <w:multiLevelType w:val="multilevel"/>
    <w:tmpl w:val="CBC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D4B86"/>
    <w:multiLevelType w:val="multilevel"/>
    <w:tmpl w:val="328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23610"/>
    <w:multiLevelType w:val="multilevel"/>
    <w:tmpl w:val="8E4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E1D38"/>
    <w:multiLevelType w:val="multilevel"/>
    <w:tmpl w:val="38F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524105">
    <w:abstractNumId w:val="3"/>
  </w:num>
  <w:num w:numId="2" w16cid:durableId="993723939">
    <w:abstractNumId w:val="8"/>
  </w:num>
  <w:num w:numId="3" w16cid:durableId="1152286393">
    <w:abstractNumId w:val="5"/>
  </w:num>
  <w:num w:numId="4" w16cid:durableId="697897807">
    <w:abstractNumId w:val="11"/>
  </w:num>
  <w:num w:numId="5" w16cid:durableId="702291784">
    <w:abstractNumId w:val="12"/>
  </w:num>
  <w:num w:numId="6" w16cid:durableId="482963391">
    <w:abstractNumId w:val="9"/>
  </w:num>
  <w:num w:numId="7" w16cid:durableId="1972200498">
    <w:abstractNumId w:val="10"/>
  </w:num>
  <w:num w:numId="8" w16cid:durableId="1905799762">
    <w:abstractNumId w:val="7"/>
  </w:num>
  <w:num w:numId="9" w16cid:durableId="1914586516">
    <w:abstractNumId w:val="6"/>
  </w:num>
  <w:num w:numId="10" w16cid:durableId="1479302837">
    <w:abstractNumId w:val="0"/>
  </w:num>
  <w:num w:numId="11" w16cid:durableId="1694917228">
    <w:abstractNumId w:val="2"/>
  </w:num>
  <w:num w:numId="12" w16cid:durableId="1979724943">
    <w:abstractNumId w:val="4"/>
  </w:num>
  <w:num w:numId="13" w16cid:durableId="1212183699">
    <w:abstractNumId w:val="1"/>
  </w:num>
  <w:num w:numId="14" w16cid:durableId="2039531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3D"/>
    <w:rsid w:val="002106FC"/>
    <w:rsid w:val="00264C5F"/>
    <w:rsid w:val="005A0E22"/>
    <w:rsid w:val="007A643D"/>
    <w:rsid w:val="00CD6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806E"/>
  <w15:chartTrackingRefBased/>
  <w15:docId w15:val="{25853650-1D06-234E-80B4-33550C02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43D"/>
    <w:rPr>
      <w:rFonts w:eastAsiaTheme="majorEastAsia" w:cstheme="majorBidi"/>
      <w:color w:val="272727" w:themeColor="text1" w:themeTint="D8"/>
    </w:rPr>
  </w:style>
  <w:style w:type="paragraph" w:styleId="Title">
    <w:name w:val="Title"/>
    <w:basedOn w:val="Normal"/>
    <w:next w:val="Normal"/>
    <w:link w:val="TitleChar"/>
    <w:uiPriority w:val="10"/>
    <w:qFormat/>
    <w:rsid w:val="007A6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43D"/>
    <w:pPr>
      <w:spacing w:before="160"/>
      <w:jc w:val="center"/>
    </w:pPr>
    <w:rPr>
      <w:i/>
      <w:iCs/>
      <w:color w:val="404040" w:themeColor="text1" w:themeTint="BF"/>
    </w:rPr>
  </w:style>
  <w:style w:type="character" w:customStyle="1" w:styleId="QuoteChar">
    <w:name w:val="Quote Char"/>
    <w:basedOn w:val="DefaultParagraphFont"/>
    <w:link w:val="Quote"/>
    <w:uiPriority w:val="29"/>
    <w:rsid w:val="007A643D"/>
    <w:rPr>
      <w:i/>
      <w:iCs/>
      <w:color w:val="404040" w:themeColor="text1" w:themeTint="BF"/>
    </w:rPr>
  </w:style>
  <w:style w:type="paragraph" w:styleId="ListParagraph">
    <w:name w:val="List Paragraph"/>
    <w:basedOn w:val="Normal"/>
    <w:uiPriority w:val="34"/>
    <w:qFormat/>
    <w:rsid w:val="007A643D"/>
    <w:pPr>
      <w:ind w:left="720"/>
      <w:contextualSpacing/>
    </w:pPr>
  </w:style>
  <w:style w:type="character" w:styleId="IntenseEmphasis">
    <w:name w:val="Intense Emphasis"/>
    <w:basedOn w:val="DefaultParagraphFont"/>
    <w:uiPriority w:val="21"/>
    <w:qFormat/>
    <w:rsid w:val="007A643D"/>
    <w:rPr>
      <w:i/>
      <w:iCs/>
      <w:color w:val="0F4761" w:themeColor="accent1" w:themeShade="BF"/>
    </w:rPr>
  </w:style>
  <w:style w:type="paragraph" w:styleId="IntenseQuote">
    <w:name w:val="Intense Quote"/>
    <w:basedOn w:val="Normal"/>
    <w:next w:val="Normal"/>
    <w:link w:val="IntenseQuoteChar"/>
    <w:uiPriority w:val="30"/>
    <w:qFormat/>
    <w:rsid w:val="007A6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43D"/>
    <w:rPr>
      <w:i/>
      <w:iCs/>
      <w:color w:val="0F4761" w:themeColor="accent1" w:themeShade="BF"/>
    </w:rPr>
  </w:style>
  <w:style w:type="character" w:styleId="IntenseReference">
    <w:name w:val="Intense Reference"/>
    <w:basedOn w:val="DefaultParagraphFont"/>
    <w:uiPriority w:val="32"/>
    <w:qFormat/>
    <w:rsid w:val="007A643D"/>
    <w:rPr>
      <w:b/>
      <w:bCs/>
      <w:smallCaps/>
      <w:color w:val="0F4761" w:themeColor="accent1" w:themeShade="BF"/>
      <w:spacing w:val="5"/>
    </w:rPr>
  </w:style>
  <w:style w:type="paragraph" w:styleId="NormalWeb">
    <w:name w:val="Normal (Web)"/>
    <w:basedOn w:val="Normal"/>
    <w:uiPriority w:val="99"/>
    <w:semiHidden/>
    <w:unhideWhenUsed/>
    <w:rsid w:val="007A64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A643D"/>
  </w:style>
  <w:style w:type="character" w:customStyle="1" w:styleId="whitespace-normal">
    <w:name w:val="whitespace-normal"/>
    <w:basedOn w:val="DefaultParagraphFont"/>
    <w:rsid w:val="007A643D"/>
  </w:style>
  <w:style w:type="character" w:styleId="Strong">
    <w:name w:val="Strong"/>
    <w:basedOn w:val="DefaultParagraphFont"/>
    <w:uiPriority w:val="22"/>
    <w:qFormat/>
    <w:rsid w:val="007A64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843</Words>
  <Characters>5613</Characters>
  <Application>Microsoft Office Word</Application>
  <DocSecurity>0</DocSecurity>
  <Lines>119</Lines>
  <Paragraphs>82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siwakoti</dc:creator>
  <cp:keywords/>
  <dc:description/>
  <cp:lastModifiedBy>nischal siwakoti</cp:lastModifiedBy>
  <cp:revision>2</cp:revision>
  <dcterms:created xsi:type="dcterms:W3CDTF">2026-02-01T22:15:00Z</dcterms:created>
  <dcterms:modified xsi:type="dcterms:W3CDTF">2026-02-01T22:32:00Z</dcterms:modified>
</cp:coreProperties>
</file>