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60F5A5" w14:textId="77777777" w:rsidR="00987DD9" w:rsidRDefault="00987DD9" w:rsidP="00987DD9">
      <w:pPr>
        <w:pStyle w:val="Heading2"/>
        <w:rPr>
          <w:color w:val="000000"/>
        </w:rPr>
      </w:pPr>
      <w:r>
        <w:rPr>
          <w:color w:val="000000"/>
        </w:rPr>
        <w:t>IRS Tax Representation &amp; Audit Defense</w:t>
      </w:r>
    </w:p>
    <w:p w14:paraId="61BC9AB3" w14:textId="60A5C4F7" w:rsidR="00987DD9" w:rsidRDefault="00987DD9" w:rsidP="00987DD9">
      <w:pPr>
        <w:pStyle w:val="Heading3"/>
        <w:rPr>
          <w:color w:val="000000"/>
        </w:rPr>
      </w:pPr>
      <w:r>
        <w:rPr>
          <w:color w:val="000000"/>
        </w:rPr>
        <w:t xml:space="preserve">Service Summary </w:t>
      </w:r>
    </w:p>
    <w:p w14:paraId="1B87A41D" w14:textId="77777777" w:rsidR="00987DD9" w:rsidRDefault="00987DD9" w:rsidP="00987DD9">
      <w:pPr>
        <w:pStyle w:val="NormalWeb"/>
        <w:rPr>
          <w:color w:val="000000"/>
        </w:rPr>
      </w:pPr>
      <w:r>
        <w:rPr>
          <w:color w:val="000000"/>
        </w:rPr>
        <w:t>IRS Tax Representation &amp; Audit Defense provides structured support for notices, examinations, payroll tax issues, and information requests. These matters require disciplined documentation, controlled communication, and deadline management to reduce escalation and financial exposure. Quantum’s approach is governance-first and control-driven, grounded in the six pillars:</w:t>
      </w:r>
      <w:r>
        <w:rPr>
          <w:rStyle w:val="apple-converted-space"/>
          <w:color w:val="000000"/>
        </w:rPr>
        <w:t> </w:t>
      </w:r>
      <w:r>
        <w:rPr>
          <w:rStyle w:val="Strong"/>
          <w:rFonts w:eastAsiaTheme="majorEastAsia"/>
          <w:color w:val="000000"/>
        </w:rPr>
        <w:t>Clarity, Consistency, Compliance, Communication, Control, and Comprehensiveness</w:t>
      </w:r>
      <w:r>
        <w:rPr>
          <w:color w:val="000000"/>
        </w:rPr>
        <w:t>, to deliver defensible responses and clear decision options. The outcome is reduced uncertainty, efficient resolution pathways, and an audit-ready record of actions and submissions.</w:t>
      </w:r>
    </w:p>
    <w:p w14:paraId="3DAFB345" w14:textId="77777777" w:rsidR="00987DD9" w:rsidRDefault="005B242E" w:rsidP="00987DD9">
      <w:r>
        <w:rPr>
          <w:noProof/>
        </w:rPr>
        <w:pict w14:anchorId="5F90137C">
          <v:rect id="_x0000_i1031" alt="" style="width:313.55pt;height:.05pt;mso-width-percent:0;mso-height-percent:0;mso-width-percent:0;mso-height-percent:0" o:hrpct="670" o:hralign="center" o:hrstd="t" o:hr="t" fillcolor="#a0a0a0" stroked="f"/>
        </w:pict>
      </w:r>
    </w:p>
    <w:p w14:paraId="187D2387" w14:textId="77777777" w:rsidR="00987DD9" w:rsidRDefault="00987DD9" w:rsidP="00987DD9">
      <w:pPr>
        <w:pStyle w:val="Heading3"/>
        <w:rPr>
          <w:color w:val="000000"/>
        </w:rPr>
      </w:pPr>
      <w:r>
        <w:rPr>
          <w:color w:val="000000"/>
        </w:rPr>
        <w:t>Case Intake &amp; Authorization Setup</w:t>
      </w:r>
    </w:p>
    <w:p w14:paraId="13C8B422" w14:textId="77777777" w:rsidR="00987DD9" w:rsidRDefault="00987DD9" w:rsidP="00987DD9">
      <w:pPr>
        <w:pStyle w:val="NormalWeb"/>
        <w:rPr>
          <w:color w:val="000000"/>
        </w:rPr>
      </w:pPr>
      <w:r>
        <w:rPr>
          <w:color w:val="000000"/>
        </w:rPr>
        <w:t>This phase establishes a controlled case structure so all actions are coordinated through a single, traceable pathway from day one. It also prevents early missteps by locking down timelines, communication boundaries, and evidence requirements before any submissions are made.</w:t>
      </w:r>
      <w:r>
        <w:rPr>
          <w:color w:val="000000"/>
        </w:rPr>
        <w:br/>
      </w:r>
      <w:r>
        <w:rPr>
          <w:rStyle w:val="Strong"/>
          <w:rFonts w:eastAsiaTheme="majorEastAsia"/>
          <w:color w:val="000000"/>
        </w:rPr>
        <w:t>Purpose</w:t>
      </w:r>
    </w:p>
    <w:p w14:paraId="15B337C6" w14:textId="77777777" w:rsidR="00987DD9" w:rsidRDefault="00987DD9" w:rsidP="00987DD9">
      <w:pPr>
        <w:pStyle w:val="NormalWeb"/>
        <w:numPr>
          <w:ilvl w:val="0"/>
          <w:numId w:val="10"/>
        </w:numPr>
        <w:rPr>
          <w:color w:val="000000"/>
        </w:rPr>
      </w:pPr>
      <w:r>
        <w:rPr>
          <w:color w:val="000000"/>
        </w:rPr>
        <w:t>Confirm the scope of the matter, timelines, and requested information</w:t>
      </w:r>
    </w:p>
    <w:p w14:paraId="176F5BFB" w14:textId="77777777" w:rsidR="00987DD9" w:rsidRDefault="00987DD9" w:rsidP="00987DD9">
      <w:pPr>
        <w:pStyle w:val="NormalWeb"/>
        <w:numPr>
          <w:ilvl w:val="0"/>
          <w:numId w:val="10"/>
        </w:numPr>
        <w:rPr>
          <w:color w:val="000000"/>
        </w:rPr>
      </w:pPr>
      <w:r>
        <w:rPr>
          <w:color w:val="000000"/>
        </w:rPr>
        <w:t>Establish representation authority and controlled communication protocols</w:t>
      </w:r>
    </w:p>
    <w:p w14:paraId="262876BD" w14:textId="77777777" w:rsidR="00987DD9" w:rsidRDefault="00987DD9" w:rsidP="00987DD9">
      <w:pPr>
        <w:pStyle w:val="NormalWeb"/>
        <w:numPr>
          <w:ilvl w:val="0"/>
          <w:numId w:val="10"/>
        </w:numPr>
        <w:rPr>
          <w:color w:val="000000"/>
        </w:rPr>
      </w:pPr>
      <w:r>
        <w:rPr>
          <w:color w:val="000000"/>
        </w:rPr>
        <w:t>Create a case plan and documentation checklist</w:t>
      </w:r>
    </w:p>
    <w:p w14:paraId="7960003B" w14:textId="77777777" w:rsidR="00987DD9" w:rsidRDefault="00987DD9" w:rsidP="00987DD9">
      <w:pPr>
        <w:pStyle w:val="NormalWeb"/>
        <w:rPr>
          <w:color w:val="000000"/>
        </w:rPr>
      </w:pPr>
      <w:r>
        <w:rPr>
          <w:rStyle w:val="Strong"/>
          <w:rFonts w:eastAsiaTheme="majorEastAsia"/>
          <w:color w:val="000000"/>
        </w:rPr>
        <w:t>Why It Matters</w:t>
      </w:r>
    </w:p>
    <w:p w14:paraId="72F5D3E3" w14:textId="77777777" w:rsidR="00987DD9" w:rsidRDefault="00987DD9" w:rsidP="00987DD9">
      <w:pPr>
        <w:pStyle w:val="NormalWeb"/>
        <w:numPr>
          <w:ilvl w:val="0"/>
          <w:numId w:val="11"/>
        </w:numPr>
        <w:rPr>
          <w:color w:val="000000"/>
        </w:rPr>
      </w:pPr>
      <w:r>
        <w:rPr>
          <w:color w:val="000000"/>
        </w:rPr>
        <w:t>Reduces missed deadlines and preventable escalation</w:t>
      </w:r>
    </w:p>
    <w:p w14:paraId="5BCEA06D" w14:textId="77777777" w:rsidR="00987DD9" w:rsidRDefault="00987DD9" w:rsidP="00987DD9">
      <w:pPr>
        <w:pStyle w:val="NormalWeb"/>
        <w:numPr>
          <w:ilvl w:val="0"/>
          <w:numId w:val="11"/>
        </w:numPr>
        <w:rPr>
          <w:color w:val="000000"/>
        </w:rPr>
      </w:pPr>
      <w:r>
        <w:rPr>
          <w:color w:val="000000"/>
        </w:rPr>
        <w:t>Creates a single, coordinated response pathway</w:t>
      </w:r>
    </w:p>
    <w:p w14:paraId="20ED6445" w14:textId="77777777" w:rsidR="00987DD9" w:rsidRDefault="00987DD9" w:rsidP="00987DD9">
      <w:pPr>
        <w:pStyle w:val="NormalWeb"/>
        <w:numPr>
          <w:ilvl w:val="0"/>
          <w:numId w:val="11"/>
        </w:numPr>
        <w:rPr>
          <w:color w:val="000000"/>
        </w:rPr>
      </w:pPr>
      <w:r>
        <w:rPr>
          <w:color w:val="000000"/>
        </w:rPr>
        <w:t>Improves early clarity on exposure and next steps</w:t>
      </w:r>
    </w:p>
    <w:p w14:paraId="4E2C6968" w14:textId="77777777" w:rsidR="00987DD9" w:rsidRDefault="005B242E" w:rsidP="00987DD9">
      <w:r>
        <w:rPr>
          <w:noProof/>
        </w:rPr>
        <w:pict w14:anchorId="3E3A840B">
          <v:rect id="_x0000_i1030" alt="" style="width:313.55pt;height:.05pt;mso-width-percent:0;mso-height-percent:0;mso-width-percent:0;mso-height-percent:0" o:hrpct="670" o:hralign="center" o:hrstd="t" o:hr="t" fillcolor="#a0a0a0" stroked="f"/>
        </w:pict>
      </w:r>
    </w:p>
    <w:p w14:paraId="18D4996B" w14:textId="77777777" w:rsidR="00987DD9" w:rsidRDefault="00987DD9" w:rsidP="00987DD9">
      <w:pPr>
        <w:pStyle w:val="Heading3"/>
        <w:rPr>
          <w:color w:val="000000"/>
        </w:rPr>
      </w:pPr>
      <w:r>
        <w:rPr>
          <w:color w:val="000000"/>
        </w:rPr>
        <w:t>Exposure Assessment &amp; Response Strategy</w:t>
      </w:r>
    </w:p>
    <w:p w14:paraId="2F0E6128" w14:textId="77777777" w:rsidR="00987DD9" w:rsidRDefault="00987DD9" w:rsidP="00987DD9">
      <w:pPr>
        <w:pStyle w:val="NormalWeb"/>
        <w:rPr>
          <w:color w:val="000000"/>
        </w:rPr>
      </w:pPr>
      <w:r>
        <w:rPr>
          <w:color w:val="000000"/>
        </w:rPr>
        <w:t>This phase converts the notice or inquiry into decision-ready options by separating facts, assumptions, and procedural requirements. It also defines a consistent response posture so explanations remain coherent if the inquiry expands in scope or intensity.</w:t>
      </w:r>
      <w:r>
        <w:rPr>
          <w:color w:val="000000"/>
        </w:rPr>
        <w:br/>
      </w:r>
      <w:r>
        <w:rPr>
          <w:rStyle w:val="Strong"/>
          <w:rFonts w:eastAsiaTheme="majorEastAsia"/>
          <w:color w:val="000000"/>
        </w:rPr>
        <w:t>Purpose</w:t>
      </w:r>
    </w:p>
    <w:p w14:paraId="55B219B7" w14:textId="77777777" w:rsidR="00987DD9" w:rsidRDefault="00987DD9" w:rsidP="00987DD9">
      <w:pPr>
        <w:pStyle w:val="NormalWeb"/>
        <w:numPr>
          <w:ilvl w:val="0"/>
          <w:numId w:val="12"/>
        </w:numPr>
        <w:rPr>
          <w:color w:val="000000"/>
        </w:rPr>
      </w:pPr>
      <w:r>
        <w:rPr>
          <w:color w:val="000000"/>
        </w:rPr>
        <w:t>Review filings, positions, and facts to identify risk areas</w:t>
      </w:r>
    </w:p>
    <w:p w14:paraId="2C9167AF" w14:textId="77777777" w:rsidR="00987DD9" w:rsidRDefault="00987DD9" w:rsidP="00987DD9">
      <w:pPr>
        <w:pStyle w:val="NormalWeb"/>
        <w:numPr>
          <w:ilvl w:val="0"/>
          <w:numId w:val="12"/>
        </w:numPr>
        <w:rPr>
          <w:color w:val="000000"/>
        </w:rPr>
      </w:pPr>
      <w:r>
        <w:rPr>
          <w:color w:val="000000"/>
        </w:rPr>
        <w:t>Define a response strategy aligned to procedural requirements and documentation</w:t>
      </w:r>
    </w:p>
    <w:p w14:paraId="6143751F" w14:textId="77777777" w:rsidR="00987DD9" w:rsidRDefault="00987DD9" w:rsidP="00987DD9">
      <w:pPr>
        <w:pStyle w:val="NormalWeb"/>
        <w:numPr>
          <w:ilvl w:val="0"/>
          <w:numId w:val="12"/>
        </w:numPr>
        <w:rPr>
          <w:color w:val="000000"/>
        </w:rPr>
      </w:pPr>
      <w:r>
        <w:rPr>
          <w:color w:val="000000"/>
        </w:rPr>
        <w:t>Identify decision points, tradeoffs, and escalation triggers</w:t>
      </w:r>
    </w:p>
    <w:p w14:paraId="73F10A37" w14:textId="77777777" w:rsidR="00987DD9" w:rsidRDefault="00987DD9" w:rsidP="00987DD9">
      <w:pPr>
        <w:pStyle w:val="NormalWeb"/>
        <w:rPr>
          <w:color w:val="000000"/>
        </w:rPr>
      </w:pPr>
      <w:r>
        <w:rPr>
          <w:rStyle w:val="Strong"/>
          <w:rFonts w:eastAsiaTheme="majorEastAsia"/>
          <w:color w:val="000000"/>
        </w:rPr>
        <w:lastRenderedPageBreak/>
        <w:t>Why It Matters</w:t>
      </w:r>
    </w:p>
    <w:p w14:paraId="0121C5AA" w14:textId="77777777" w:rsidR="00987DD9" w:rsidRDefault="00987DD9" w:rsidP="00987DD9">
      <w:pPr>
        <w:pStyle w:val="NormalWeb"/>
        <w:numPr>
          <w:ilvl w:val="0"/>
          <w:numId w:val="13"/>
        </w:numPr>
        <w:rPr>
          <w:color w:val="000000"/>
        </w:rPr>
      </w:pPr>
      <w:r>
        <w:rPr>
          <w:color w:val="000000"/>
        </w:rPr>
        <w:t>Improves decision confidence under time pressure</w:t>
      </w:r>
    </w:p>
    <w:p w14:paraId="07A8AA9B" w14:textId="77777777" w:rsidR="00987DD9" w:rsidRDefault="00987DD9" w:rsidP="00987DD9">
      <w:pPr>
        <w:pStyle w:val="NormalWeb"/>
        <w:numPr>
          <w:ilvl w:val="0"/>
          <w:numId w:val="13"/>
        </w:numPr>
        <w:rPr>
          <w:color w:val="000000"/>
        </w:rPr>
      </w:pPr>
      <w:r>
        <w:rPr>
          <w:color w:val="000000"/>
        </w:rPr>
        <w:t>Reduces risk from inconsistent or unsupported responses</w:t>
      </w:r>
    </w:p>
    <w:p w14:paraId="6CA5B75A" w14:textId="77777777" w:rsidR="00987DD9" w:rsidRDefault="00987DD9" w:rsidP="00987DD9">
      <w:pPr>
        <w:pStyle w:val="NormalWeb"/>
        <w:numPr>
          <w:ilvl w:val="0"/>
          <w:numId w:val="13"/>
        </w:numPr>
        <w:rPr>
          <w:color w:val="000000"/>
        </w:rPr>
      </w:pPr>
      <w:r>
        <w:rPr>
          <w:color w:val="000000"/>
        </w:rPr>
        <w:t>Creates defensible rationale for the chosen approach</w:t>
      </w:r>
    </w:p>
    <w:p w14:paraId="2C77E222" w14:textId="77777777" w:rsidR="00987DD9" w:rsidRDefault="005B242E" w:rsidP="00987DD9">
      <w:r>
        <w:rPr>
          <w:noProof/>
        </w:rPr>
        <w:pict w14:anchorId="08EF0D7A">
          <v:rect id="_x0000_i1029" alt="" style="width:313.55pt;height:.05pt;mso-width-percent:0;mso-height-percent:0;mso-width-percent:0;mso-height-percent:0" o:hrpct="670" o:hralign="center" o:hrstd="t" o:hr="t" fillcolor="#a0a0a0" stroked="f"/>
        </w:pict>
      </w:r>
    </w:p>
    <w:p w14:paraId="0E2AF9C3" w14:textId="77777777" w:rsidR="00987DD9" w:rsidRDefault="00987DD9" w:rsidP="00987DD9">
      <w:pPr>
        <w:pStyle w:val="Heading3"/>
        <w:rPr>
          <w:color w:val="000000"/>
        </w:rPr>
      </w:pPr>
      <w:r>
        <w:rPr>
          <w:color w:val="000000"/>
        </w:rPr>
        <w:t>Documentation Assembly &amp; Audit-Ready Support</w:t>
      </w:r>
    </w:p>
    <w:p w14:paraId="21BC654A" w14:textId="77777777" w:rsidR="00987DD9" w:rsidRDefault="00987DD9" w:rsidP="00987DD9">
      <w:pPr>
        <w:pStyle w:val="NormalWeb"/>
        <w:rPr>
          <w:color w:val="000000"/>
        </w:rPr>
      </w:pPr>
      <w:r>
        <w:rPr>
          <w:color w:val="000000"/>
        </w:rPr>
        <w:t>This phase builds an evidence package that is complete, internally consistent, and aligned to what the IRS asked for—so the submission reads as a supported narrative, not a file dump. It also reduces repeat disruption by organizing workpapers and support in a way that can be reused efficiently for follow-up requests.</w:t>
      </w:r>
      <w:r>
        <w:rPr>
          <w:color w:val="000000"/>
        </w:rPr>
        <w:br/>
      </w:r>
      <w:r>
        <w:rPr>
          <w:rStyle w:val="Strong"/>
          <w:rFonts w:eastAsiaTheme="majorEastAsia"/>
          <w:color w:val="000000"/>
        </w:rPr>
        <w:t>Purpose</w:t>
      </w:r>
    </w:p>
    <w:p w14:paraId="53868B3E" w14:textId="77777777" w:rsidR="00987DD9" w:rsidRDefault="00987DD9" w:rsidP="00987DD9">
      <w:pPr>
        <w:pStyle w:val="NormalWeb"/>
        <w:numPr>
          <w:ilvl w:val="0"/>
          <w:numId w:val="14"/>
        </w:numPr>
        <w:rPr>
          <w:color w:val="000000"/>
        </w:rPr>
      </w:pPr>
      <w:r>
        <w:rPr>
          <w:color w:val="000000"/>
        </w:rPr>
        <w:t>Organize and validate supporting records and schedules</w:t>
      </w:r>
    </w:p>
    <w:p w14:paraId="6B98AEAD" w14:textId="77777777" w:rsidR="00987DD9" w:rsidRDefault="00987DD9" w:rsidP="00987DD9">
      <w:pPr>
        <w:pStyle w:val="NormalWeb"/>
        <w:numPr>
          <w:ilvl w:val="0"/>
          <w:numId w:val="14"/>
        </w:numPr>
        <w:rPr>
          <w:color w:val="000000"/>
        </w:rPr>
      </w:pPr>
      <w:r>
        <w:rPr>
          <w:color w:val="000000"/>
        </w:rPr>
        <w:t>Identify gaps and define remediation steps to strengthen support</w:t>
      </w:r>
    </w:p>
    <w:p w14:paraId="5B7204ED" w14:textId="77777777" w:rsidR="00987DD9" w:rsidRDefault="00987DD9" w:rsidP="00987DD9">
      <w:pPr>
        <w:pStyle w:val="NormalWeb"/>
        <w:numPr>
          <w:ilvl w:val="0"/>
          <w:numId w:val="14"/>
        </w:numPr>
        <w:rPr>
          <w:color w:val="000000"/>
        </w:rPr>
      </w:pPr>
      <w:r>
        <w:rPr>
          <w:color w:val="000000"/>
        </w:rPr>
        <w:t>Package documentation in a clear, traceable format</w:t>
      </w:r>
    </w:p>
    <w:p w14:paraId="4033EF75" w14:textId="77777777" w:rsidR="00987DD9" w:rsidRDefault="00987DD9" w:rsidP="00987DD9">
      <w:pPr>
        <w:pStyle w:val="NormalWeb"/>
        <w:rPr>
          <w:color w:val="000000"/>
        </w:rPr>
      </w:pPr>
      <w:r>
        <w:rPr>
          <w:rStyle w:val="Strong"/>
          <w:rFonts w:eastAsiaTheme="majorEastAsia"/>
          <w:color w:val="000000"/>
        </w:rPr>
        <w:t>Why It Matters</w:t>
      </w:r>
    </w:p>
    <w:p w14:paraId="237642E8" w14:textId="77777777" w:rsidR="00987DD9" w:rsidRDefault="00987DD9" w:rsidP="00987DD9">
      <w:pPr>
        <w:pStyle w:val="NormalWeb"/>
        <w:numPr>
          <w:ilvl w:val="0"/>
          <w:numId w:val="15"/>
        </w:numPr>
        <w:rPr>
          <w:color w:val="000000"/>
        </w:rPr>
      </w:pPr>
      <w:r>
        <w:rPr>
          <w:color w:val="000000"/>
        </w:rPr>
        <w:t>Strengthens audit defensibility and reduces follow-up requests</w:t>
      </w:r>
    </w:p>
    <w:p w14:paraId="0AF18B3C" w14:textId="77777777" w:rsidR="00987DD9" w:rsidRDefault="00987DD9" w:rsidP="00987DD9">
      <w:pPr>
        <w:pStyle w:val="NormalWeb"/>
        <w:numPr>
          <w:ilvl w:val="0"/>
          <w:numId w:val="15"/>
        </w:numPr>
        <w:rPr>
          <w:color w:val="000000"/>
        </w:rPr>
      </w:pPr>
      <w:r>
        <w:rPr>
          <w:color w:val="000000"/>
        </w:rPr>
        <w:t>Limits exposure caused by incomplete or inconsistent support</w:t>
      </w:r>
    </w:p>
    <w:p w14:paraId="6F77452D" w14:textId="77777777" w:rsidR="00987DD9" w:rsidRDefault="00987DD9" w:rsidP="00987DD9">
      <w:pPr>
        <w:pStyle w:val="NormalWeb"/>
        <w:numPr>
          <w:ilvl w:val="0"/>
          <w:numId w:val="15"/>
        </w:numPr>
        <w:rPr>
          <w:color w:val="000000"/>
        </w:rPr>
      </w:pPr>
      <w:r>
        <w:rPr>
          <w:color w:val="000000"/>
        </w:rPr>
        <w:t>Reduces disruption by improving response efficiency</w:t>
      </w:r>
    </w:p>
    <w:p w14:paraId="4DA5BB05" w14:textId="77777777" w:rsidR="00987DD9" w:rsidRDefault="00987DD9" w:rsidP="00987DD9">
      <w:pPr>
        <w:pStyle w:val="NormalWeb"/>
        <w:rPr>
          <w:color w:val="000000"/>
        </w:rPr>
      </w:pPr>
      <w:r>
        <w:rPr>
          <w:rStyle w:val="Strong"/>
          <w:rFonts w:eastAsiaTheme="majorEastAsia"/>
          <w:color w:val="000000"/>
        </w:rPr>
        <w:t>Optional Framework Reference</w:t>
      </w:r>
    </w:p>
    <w:p w14:paraId="6A048967" w14:textId="77777777" w:rsidR="00987DD9" w:rsidRDefault="00987DD9" w:rsidP="00987DD9">
      <w:pPr>
        <w:pStyle w:val="NormalWeb"/>
        <w:numPr>
          <w:ilvl w:val="0"/>
          <w:numId w:val="16"/>
        </w:numPr>
        <w:rPr>
          <w:color w:val="000000"/>
        </w:rPr>
      </w:pPr>
      <w:r>
        <w:rPr>
          <w:color w:val="000000"/>
        </w:rPr>
        <w:t>ISO/IEC 27001-aligned handling practices to reinforce secure, controlled document management</w:t>
      </w:r>
    </w:p>
    <w:p w14:paraId="4B182569" w14:textId="77777777" w:rsidR="00987DD9" w:rsidRDefault="005B242E" w:rsidP="00987DD9">
      <w:r>
        <w:rPr>
          <w:noProof/>
        </w:rPr>
        <w:pict w14:anchorId="1426B84F">
          <v:rect id="_x0000_i1028" alt="" style="width:313.55pt;height:.05pt;mso-width-percent:0;mso-height-percent:0;mso-width-percent:0;mso-height-percent:0" o:hrpct="670" o:hralign="center" o:hrstd="t" o:hr="t" fillcolor="#a0a0a0" stroked="f"/>
        </w:pict>
      </w:r>
    </w:p>
    <w:p w14:paraId="786003AF" w14:textId="77777777" w:rsidR="00987DD9" w:rsidRDefault="00987DD9" w:rsidP="00987DD9">
      <w:pPr>
        <w:pStyle w:val="Heading3"/>
        <w:rPr>
          <w:color w:val="000000"/>
        </w:rPr>
      </w:pPr>
      <w:r>
        <w:rPr>
          <w:color w:val="000000"/>
        </w:rPr>
        <w:t>IRS Communication &amp; Submission Control</w:t>
      </w:r>
    </w:p>
    <w:p w14:paraId="167A48E9" w14:textId="77777777" w:rsidR="00987DD9" w:rsidRDefault="00987DD9" w:rsidP="00987DD9">
      <w:pPr>
        <w:pStyle w:val="NormalWeb"/>
        <w:rPr>
          <w:color w:val="000000"/>
        </w:rPr>
      </w:pPr>
      <w:r>
        <w:rPr>
          <w:color w:val="000000"/>
        </w:rPr>
        <w:t>This phase governs the mechanics of correspondence so deadlines, versions, and commitments remain controlled as requests evolve. It also preserves a complete interaction record to support continuity, defensibility, and efficient handoffs if the matter extends over time.</w:t>
      </w:r>
      <w:r>
        <w:rPr>
          <w:color w:val="000000"/>
        </w:rPr>
        <w:br/>
      </w:r>
      <w:r>
        <w:rPr>
          <w:rStyle w:val="Strong"/>
          <w:rFonts w:eastAsiaTheme="majorEastAsia"/>
          <w:color w:val="000000"/>
        </w:rPr>
        <w:t>Purpose</w:t>
      </w:r>
    </w:p>
    <w:p w14:paraId="6C4BE18B" w14:textId="77777777" w:rsidR="00987DD9" w:rsidRDefault="00987DD9" w:rsidP="00987DD9">
      <w:pPr>
        <w:pStyle w:val="NormalWeb"/>
        <w:numPr>
          <w:ilvl w:val="0"/>
          <w:numId w:val="17"/>
        </w:numPr>
        <w:rPr>
          <w:color w:val="000000"/>
        </w:rPr>
      </w:pPr>
      <w:r>
        <w:rPr>
          <w:color w:val="000000"/>
        </w:rPr>
        <w:t>Manage correspondence and information requests through controlled tracking</w:t>
      </w:r>
    </w:p>
    <w:p w14:paraId="3618759A" w14:textId="77777777" w:rsidR="00987DD9" w:rsidRDefault="00987DD9" w:rsidP="00987DD9">
      <w:pPr>
        <w:pStyle w:val="NormalWeb"/>
        <w:numPr>
          <w:ilvl w:val="0"/>
          <w:numId w:val="17"/>
        </w:numPr>
        <w:rPr>
          <w:color w:val="000000"/>
        </w:rPr>
      </w:pPr>
      <w:r>
        <w:rPr>
          <w:color w:val="000000"/>
        </w:rPr>
        <w:t>Maintain a complete record of submissions, timing, and rationale</w:t>
      </w:r>
    </w:p>
    <w:p w14:paraId="63646232" w14:textId="77777777" w:rsidR="00987DD9" w:rsidRDefault="00987DD9" w:rsidP="00987DD9">
      <w:pPr>
        <w:pStyle w:val="NormalWeb"/>
        <w:numPr>
          <w:ilvl w:val="0"/>
          <w:numId w:val="17"/>
        </w:numPr>
        <w:rPr>
          <w:color w:val="000000"/>
        </w:rPr>
      </w:pPr>
      <w:r>
        <w:rPr>
          <w:color w:val="000000"/>
        </w:rPr>
        <w:t>Coordinate clarifications and updates with disciplined communication</w:t>
      </w:r>
    </w:p>
    <w:p w14:paraId="1D17FC6C" w14:textId="77777777" w:rsidR="00987DD9" w:rsidRDefault="00987DD9" w:rsidP="00987DD9">
      <w:pPr>
        <w:pStyle w:val="NormalWeb"/>
        <w:rPr>
          <w:color w:val="000000"/>
        </w:rPr>
      </w:pPr>
      <w:r>
        <w:rPr>
          <w:rStyle w:val="Strong"/>
          <w:rFonts w:eastAsiaTheme="majorEastAsia"/>
          <w:color w:val="000000"/>
        </w:rPr>
        <w:t>Why It Matters</w:t>
      </w:r>
    </w:p>
    <w:p w14:paraId="3C3B700F" w14:textId="77777777" w:rsidR="00987DD9" w:rsidRDefault="00987DD9" w:rsidP="00987DD9">
      <w:pPr>
        <w:pStyle w:val="NormalWeb"/>
        <w:numPr>
          <w:ilvl w:val="0"/>
          <w:numId w:val="18"/>
        </w:numPr>
        <w:rPr>
          <w:color w:val="000000"/>
        </w:rPr>
      </w:pPr>
      <w:r>
        <w:rPr>
          <w:color w:val="000000"/>
        </w:rPr>
        <w:lastRenderedPageBreak/>
        <w:t>Prevents escalation driven by delays or incomplete responses</w:t>
      </w:r>
    </w:p>
    <w:p w14:paraId="4F46CB76" w14:textId="77777777" w:rsidR="00987DD9" w:rsidRDefault="00987DD9" w:rsidP="00987DD9">
      <w:pPr>
        <w:pStyle w:val="NormalWeb"/>
        <w:numPr>
          <w:ilvl w:val="0"/>
          <w:numId w:val="18"/>
        </w:numPr>
        <w:rPr>
          <w:color w:val="000000"/>
        </w:rPr>
      </w:pPr>
      <w:r>
        <w:rPr>
          <w:color w:val="000000"/>
        </w:rPr>
        <w:t>Creates a reliable audit trail of all interactions</w:t>
      </w:r>
    </w:p>
    <w:p w14:paraId="69F849CD" w14:textId="77777777" w:rsidR="00987DD9" w:rsidRDefault="00987DD9" w:rsidP="00987DD9">
      <w:pPr>
        <w:pStyle w:val="NormalWeb"/>
        <w:numPr>
          <w:ilvl w:val="0"/>
          <w:numId w:val="18"/>
        </w:numPr>
        <w:rPr>
          <w:color w:val="000000"/>
        </w:rPr>
      </w:pPr>
      <w:r>
        <w:rPr>
          <w:color w:val="000000"/>
        </w:rPr>
        <w:t>Improves operational control by reducing distractions and uncertainty</w:t>
      </w:r>
    </w:p>
    <w:p w14:paraId="753438CD" w14:textId="77777777" w:rsidR="00987DD9" w:rsidRDefault="005B242E" w:rsidP="00987DD9">
      <w:r>
        <w:rPr>
          <w:noProof/>
        </w:rPr>
        <w:pict w14:anchorId="398C6D1E">
          <v:rect id="_x0000_i1027" alt="" style="width:313.55pt;height:.05pt;mso-width-percent:0;mso-height-percent:0;mso-width-percent:0;mso-height-percent:0" o:hrpct="670" o:hralign="center" o:hrstd="t" o:hr="t" fillcolor="#a0a0a0" stroked="f"/>
        </w:pict>
      </w:r>
    </w:p>
    <w:p w14:paraId="6F740FEC" w14:textId="77777777" w:rsidR="00987DD9" w:rsidRDefault="00987DD9" w:rsidP="00987DD9">
      <w:pPr>
        <w:pStyle w:val="Heading3"/>
        <w:rPr>
          <w:color w:val="000000"/>
        </w:rPr>
      </w:pPr>
      <w:r>
        <w:rPr>
          <w:color w:val="000000"/>
        </w:rPr>
        <w:t>Resolution Pathways &amp; Negotiation Support</w:t>
      </w:r>
    </w:p>
    <w:p w14:paraId="5293CFE3" w14:textId="77777777" w:rsidR="00987DD9" w:rsidRDefault="00987DD9" w:rsidP="00987DD9">
      <w:pPr>
        <w:pStyle w:val="NormalWeb"/>
        <w:rPr>
          <w:color w:val="000000"/>
        </w:rPr>
      </w:pPr>
      <w:r>
        <w:rPr>
          <w:color w:val="000000"/>
        </w:rPr>
        <w:t>This phase translates findings into practical closure options by clarifying what actions, documentation, and commitments are required to resolve the matter. It also maintains decision discipline by documenting what is agreed, what remains open, and what obligations must be tracked after resolution.</w:t>
      </w:r>
      <w:r>
        <w:rPr>
          <w:color w:val="000000"/>
        </w:rPr>
        <w:br/>
      </w:r>
      <w:r>
        <w:rPr>
          <w:rStyle w:val="Strong"/>
          <w:rFonts w:eastAsiaTheme="majorEastAsia"/>
          <w:color w:val="000000"/>
        </w:rPr>
        <w:t>Purpose</w:t>
      </w:r>
    </w:p>
    <w:p w14:paraId="0B9B1AC0" w14:textId="77777777" w:rsidR="00987DD9" w:rsidRDefault="00987DD9" w:rsidP="00987DD9">
      <w:pPr>
        <w:pStyle w:val="NormalWeb"/>
        <w:numPr>
          <w:ilvl w:val="0"/>
          <w:numId w:val="19"/>
        </w:numPr>
        <w:rPr>
          <w:color w:val="000000"/>
        </w:rPr>
      </w:pPr>
      <w:r>
        <w:rPr>
          <w:color w:val="000000"/>
        </w:rPr>
        <w:t>Evaluate resolution options and define the most practical path forward</w:t>
      </w:r>
    </w:p>
    <w:p w14:paraId="585DDEB6" w14:textId="77777777" w:rsidR="00987DD9" w:rsidRDefault="00987DD9" w:rsidP="00987DD9">
      <w:pPr>
        <w:pStyle w:val="NormalWeb"/>
        <w:numPr>
          <w:ilvl w:val="0"/>
          <w:numId w:val="19"/>
        </w:numPr>
        <w:rPr>
          <w:color w:val="000000"/>
        </w:rPr>
      </w:pPr>
      <w:r>
        <w:rPr>
          <w:color w:val="000000"/>
        </w:rPr>
        <w:t>Support structured discussions and corrective actions where appropriate</w:t>
      </w:r>
    </w:p>
    <w:p w14:paraId="2435D757" w14:textId="77777777" w:rsidR="00987DD9" w:rsidRDefault="00987DD9" w:rsidP="00987DD9">
      <w:pPr>
        <w:pStyle w:val="NormalWeb"/>
        <w:numPr>
          <w:ilvl w:val="0"/>
          <w:numId w:val="19"/>
        </w:numPr>
        <w:rPr>
          <w:color w:val="000000"/>
        </w:rPr>
      </w:pPr>
      <w:r>
        <w:rPr>
          <w:color w:val="000000"/>
        </w:rPr>
        <w:t>Document decisions, outcomes, and obligations</w:t>
      </w:r>
    </w:p>
    <w:p w14:paraId="4092FBAC" w14:textId="77777777" w:rsidR="00987DD9" w:rsidRDefault="00987DD9" w:rsidP="00987DD9">
      <w:pPr>
        <w:pStyle w:val="NormalWeb"/>
        <w:rPr>
          <w:color w:val="000000"/>
        </w:rPr>
      </w:pPr>
      <w:r>
        <w:rPr>
          <w:rStyle w:val="Strong"/>
          <w:rFonts w:eastAsiaTheme="majorEastAsia"/>
          <w:color w:val="000000"/>
        </w:rPr>
        <w:t>Why It Matters</w:t>
      </w:r>
    </w:p>
    <w:p w14:paraId="61CDD1DF" w14:textId="77777777" w:rsidR="00987DD9" w:rsidRDefault="00987DD9" w:rsidP="00987DD9">
      <w:pPr>
        <w:pStyle w:val="NormalWeb"/>
        <w:numPr>
          <w:ilvl w:val="0"/>
          <w:numId w:val="20"/>
        </w:numPr>
        <w:rPr>
          <w:color w:val="000000"/>
        </w:rPr>
      </w:pPr>
      <w:r>
        <w:rPr>
          <w:color w:val="000000"/>
        </w:rPr>
        <w:t>Reduces financial and reputational exposure</w:t>
      </w:r>
    </w:p>
    <w:p w14:paraId="2FF9306E" w14:textId="77777777" w:rsidR="00987DD9" w:rsidRDefault="00987DD9" w:rsidP="00987DD9">
      <w:pPr>
        <w:pStyle w:val="NormalWeb"/>
        <w:numPr>
          <w:ilvl w:val="0"/>
          <w:numId w:val="20"/>
        </w:numPr>
        <w:rPr>
          <w:color w:val="000000"/>
        </w:rPr>
      </w:pPr>
      <w:r>
        <w:rPr>
          <w:color w:val="000000"/>
        </w:rPr>
        <w:t>Improves predictability of outcomes and required actions</w:t>
      </w:r>
    </w:p>
    <w:p w14:paraId="05C3AC54" w14:textId="77777777" w:rsidR="00987DD9" w:rsidRDefault="00987DD9" w:rsidP="00987DD9">
      <w:pPr>
        <w:pStyle w:val="NormalWeb"/>
        <w:numPr>
          <w:ilvl w:val="0"/>
          <w:numId w:val="20"/>
        </w:numPr>
        <w:rPr>
          <w:color w:val="000000"/>
        </w:rPr>
      </w:pPr>
      <w:r>
        <w:rPr>
          <w:color w:val="000000"/>
        </w:rPr>
        <w:t>Strengthens accountability through documented decisions</w:t>
      </w:r>
    </w:p>
    <w:p w14:paraId="3EB6C71E" w14:textId="77777777" w:rsidR="00987DD9" w:rsidRDefault="005B242E" w:rsidP="00987DD9">
      <w:r>
        <w:rPr>
          <w:noProof/>
        </w:rPr>
        <w:pict w14:anchorId="2564AE1F">
          <v:rect id="_x0000_i1026" alt="" style="width:313.55pt;height:.05pt;mso-width-percent:0;mso-height-percent:0;mso-width-percent:0;mso-height-percent:0" o:hrpct="670" o:hralign="center" o:hrstd="t" o:hr="t" fillcolor="#a0a0a0" stroked="f"/>
        </w:pict>
      </w:r>
    </w:p>
    <w:p w14:paraId="05019102" w14:textId="77777777" w:rsidR="00987DD9" w:rsidRDefault="00987DD9" w:rsidP="00987DD9">
      <w:pPr>
        <w:pStyle w:val="Heading3"/>
        <w:rPr>
          <w:color w:val="000000"/>
        </w:rPr>
      </w:pPr>
      <w:r>
        <w:rPr>
          <w:color w:val="000000"/>
        </w:rPr>
        <w:t>Appeals, Closing, and Final Documentation</w:t>
      </w:r>
    </w:p>
    <w:p w14:paraId="2824BBAA" w14:textId="77777777" w:rsidR="00987DD9" w:rsidRDefault="00987DD9" w:rsidP="00987DD9">
      <w:pPr>
        <w:pStyle w:val="NormalWeb"/>
        <w:rPr>
          <w:color w:val="000000"/>
        </w:rPr>
      </w:pPr>
      <w:r>
        <w:rPr>
          <w:color w:val="000000"/>
        </w:rPr>
        <w:t>This phase ensures closure is complete and administratively clean so issues do not reopen due to missing procedural steps or incomplete records. It also consolidates final documentation into a retained case file that supports future diligence, repeat inquiries, or internal reviews.</w:t>
      </w:r>
      <w:r>
        <w:rPr>
          <w:color w:val="000000"/>
        </w:rPr>
        <w:br/>
      </w:r>
      <w:r>
        <w:rPr>
          <w:rStyle w:val="Strong"/>
          <w:rFonts w:eastAsiaTheme="majorEastAsia"/>
          <w:color w:val="000000"/>
        </w:rPr>
        <w:t>Purpose</w:t>
      </w:r>
    </w:p>
    <w:p w14:paraId="24403C9B" w14:textId="77777777" w:rsidR="00987DD9" w:rsidRDefault="00987DD9" w:rsidP="00987DD9">
      <w:pPr>
        <w:pStyle w:val="NormalWeb"/>
        <w:numPr>
          <w:ilvl w:val="0"/>
          <w:numId w:val="21"/>
        </w:numPr>
        <w:rPr>
          <w:color w:val="000000"/>
        </w:rPr>
      </w:pPr>
      <w:r>
        <w:rPr>
          <w:color w:val="000000"/>
        </w:rPr>
        <w:t>Support appeals escalation when appropriate and manage required submissions</w:t>
      </w:r>
    </w:p>
    <w:p w14:paraId="4F61C399" w14:textId="77777777" w:rsidR="00987DD9" w:rsidRDefault="00987DD9" w:rsidP="00987DD9">
      <w:pPr>
        <w:pStyle w:val="NormalWeb"/>
        <w:numPr>
          <w:ilvl w:val="0"/>
          <w:numId w:val="21"/>
        </w:numPr>
        <w:rPr>
          <w:color w:val="000000"/>
        </w:rPr>
      </w:pPr>
      <w:r>
        <w:rPr>
          <w:color w:val="000000"/>
        </w:rPr>
        <w:t>Coordinate closing steps and final documentation</w:t>
      </w:r>
    </w:p>
    <w:p w14:paraId="7499B4BF" w14:textId="77777777" w:rsidR="00987DD9" w:rsidRDefault="00987DD9" w:rsidP="00987DD9">
      <w:pPr>
        <w:pStyle w:val="NormalWeb"/>
        <w:numPr>
          <w:ilvl w:val="0"/>
          <w:numId w:val="21"/>
        </w:numPr>
        <w:rPr>
          <w:color w:val="000000"/>
        </w:rPr>
      </w:pPr>
      <w:r>
        <w:rPr>
          <w:color w:val="000000"/>
        </w:rPr>
        <w:t>Confirm closure status and retain organized records</w:t>
      </w:r>
    </w:p>
    <w:p w14:paraId="47B8005E" w14:textId="77777777" w:rsidR="00987DD9" w:rsidRDefault="00987DD9" w:rsidP="00987DD9">
      <w:pPr>
        <w:pStyle w:val="NormalWeb"/>
        <w:rPr>
          <w:color w:val="000000"/>
        </w:rPr>
      </w:pPr>
      <w:r>
        <w:rPr>
          <w:rStyle w:val="Strong"/>
          <w:rFonts w:eastAsiaTheme="majorEastAsia"/>
          <w:color w:val="000000"/>
        </w:rPr>
        <w:t>Why It Matters</w:t>
      </w:r>
    </w:p>
    <w:p w14:paraId="78F2EF16" w14:textId="77777777" w:rsidR="00987DD9" w:rsidRDefault="00987DD9" w:rsidP="00987DD9">
      <w:pPr>
        <w:pStyle w:val="NormalWeb"/>
        <w:numPr>
          <w:ilvl w:val="0"/>
          <w:numId w:val="22"/>
        </w:numPr>
        <w:rPr>
          <w:color w:val="000000"/>
        </w:rPr>
      </w:pPr>
      <w:r>
        <w:rPr>
          <w:color w:val="000000"/>
        </w:rPr>
        <w:t>Ensures the matter is closed cleanly and fully documented</w:t>
      </w:r>
    </w:p>
    <w:p w14:paraId="1ACB1023" w14:textId="77777777" w:rsidR="00987DD9" w:rsidRDefault="00987DD9" w:rsidP="00987DD9">
      <w:pPr>
        <w:pStyle w:val="NormalWeb"/>
        <w:numPr>
          <w:ilvl w:val="0"/>
          <w:numId w:val="22"/>
        </w:numPr>
        <w:rPr>
          <w:color w:val="000000"/>
        </w:rPr>
      </w:pPr>
      <w:r>
        <w:rPr>
          <w:color w:val="000000"/>
        </w:rPr>
        <w:t>Reduces risk of reopened issues due to incomplete closure</w:t>
      </w:r>
    </w:p>
    <w:p w14:paraId="7B36CCD4" w14:textId="77777777" w:rsidR="00987DD9" w:rsidRDefault="00987DD9" w:rsidP="00987DD9">
      <w:pPr>
        <w:pStyle w:val="NormalWeb"/>
        <w:numPr>
          <w:ilvl w:val="0"/>
          <w:numId w:val="22"/>
        </w:numPr>
        <w:rPr>
          <w:color w:val="000000"/>
        </w:rPr>
      </w:pPr>
      <w:r>
        <w:rPr>
          <w:color w:val="000000"/>
        </w:rPr>
        <w:t>Preserves defensibility for future inquiries</w:t>
      </w:r>
    </w:p>
    <w:p w14:paraId="005CD11D" w14:textId="77777777" w:rsidR="00987DD9" w:rsidRDefault="005B242E" w:rsidP="00987DD9">
      <w:r>
        <w:rPr>
          <w:noProof/>
        </w:rPr>
        <w:pict w14:anchorId="3538D095">
          <v:rect id="_x0000_i1025" alt="" style="width:313.55pt;height:.05pt;mso-width-percent:0;mso-height-percent:0;mso-width-percent:0;mso-height-percent:0" o:hrpct="670" o:hralign="center" o:hrstd="t" o:hr="t" fillcolor="#a0a0a0" stroked="f"/>
        </w:pict>
      </w:r>
    </w:p>
    <w:p w14:paraId="03CEEED3" w14:textId="77777777" w:rsidR="00987DD9" w:rsidRDefault="00987DD9" w:rsidP="00987DD9">
      <w:pPr>
        <w:pStyle w:val="Heading3"/>
        <w:rPr>
          <w:color w:val="000000"/>
        </w:rPr>
      </w:pPr>
      <w:r>
        <w:rPr>
          <w:color w:val="000000"/>
        </w:rPr>
        <w:lastRenderedPageBreak/>
        <w:t>Post-Resolution Readiness &amp; Control Improvements</w:t>
      </w:r>
    </w:p>
    <w:p w14:paraId="34ACCB5A" w14:textId="77777777" w:rsidR="00987DD9" w:rsidRDefault="00987DD9" w:rsidP="00987DD9">
      <w:pPr>
        <w:pStyle w:val="NormalWeb"/>
        <w:rPr>
          <w:color w:val="000000"/>
        </w:rPr>
      </w:pPr>
      <w:r>
        <w:rPr>
          <w:color w:val="000000"/>
        </w:rPr>
        <w:t>This phase converts the case into improvements that reduce recurrence by addressing root causes, not just correcting the immediate issue. It also strengthens ongoing recordkeeping discipline so future inquiries can be handled faster with fewer disruptions and better evidence.</w:t>
      </w:r>
      <w:r>
        <w:rPr>
          <w:color w:val="000000"/>
        </w:rPr>
        <w:br/>
      </w:r>
      <w:r>
        <w:rPr>
          <w:rStyle w:val="Strong"/>
          <w:rFonts w:eastAsiaTheme="majorEastAsia"/>
          <w:color w:val="000000"/>
        </w:rPr>
        <w:t>Purpose</w:t>
      </w:r>
    </w:p>
    <w:p w14:paraId="64021478" w14:textId="77777777" w:rsidR="00987DD9" w:rsidRDefault="00987DD9" w:rsidP="00987DD9">
      <w:pPr>
        <w:pStyle w:val="NormalWeb"/>
        <w:numPr>
          <w:ilvl w:val="0"/>
          <w:numId w:val="23"/>
        </w:numPr>
        <w:rPr>
          <w:color w:val="000000"/>
        </w:rPr>
      </w:pPr>
      <w:r>
        <w:rPr>
          <w:color w:val="000000"/>
        </w:rPr>
        <w:t>Identify root causes and recurring process gaps</w:t>
      </w:r>
    </w:p>
    <w:p w14:paraId="3ED83246" w14:textId="77777777" w:rsidR="00987DD9" w:rsidRDefault="00987DD9" w:rsidP="00987DD9">
      <w:pPr>
        <w:pStyle w:val="NormalWeb"/>
        <w:numPr>
          <w:ilvl w:val="0"/>
          <w:numId w:val="23"/>
        </w:numPr>
        <w:rPr>
          <w:color w:val="000000"/>
        </w:rPr>
      </w:pPr>
      <w:r>
        <w:rPr>
          <w:color w:val="000000"/>
        </w:rPr>
        <w:t>Recommend documentation and control enhancements to prevent recurrence</w:t>
      </w:r>
    </w:p>
    <w:p w14:paraId="070D6E2A" w14:textId="77777777" w:rsidR="00987DD9" w:rsidRDefault="00987DD9" w:rsidP="00987DD9">
      <w:pPr>
        <w:pStyle w:val="NormalWeb"/>
        <w:numPr>
          <w:ilvl w:val="0"/>
          <w:numId w:val="23"/>
        </w:numPr>
        <w:rPr>
          <w:color w:val="000000"/>
        </w:rPr>
      </w:pPr>
      <w:r>
        <w:rPr>
          <w:color w:val="000000"/>
        </w:rPr>
        <w:t>Align recordkeeping practices for ongoing readiness</w:t>
      </w:r>
    </w:p>
    <w:p w14:paraId="294806B8" w14:textId="77777777" w:rsidR="00987DD9" w:rsidRDefault="00987DD9" w:rsidP="00987DD9">
      <w:pPr>
        <w:pStyle w:val="NormalWeb"/>
        <w:rPr>
          <w:color w:val="000000"/>
        </w:rPr>
      </w:pPr>
      <w:r>
        <w:rPr>
          <w:rStyle w:val="Strong"/>
          <w:rFonts w:eastAsiaTheme="majorEastAsia"/>
          <w:color w:val="000000"/>
        </w:rPr>
        <w:t>Why It Matters</w:t>
      </w:r>
    </w:p>
    <w:p w14:paraId="4B3682EE" w14:textId="77777777" w:rsidR="00987DD9" w:rsidRDefault="00987DD9" w:rsidP="00987DD9">
      <w:pPr>
        <w:pStyle w:val="NormalWeb"/>
        <w:numPr>
          <w:ilvl w:val="0"/>
          <w:numId w:val="24"/>
        </w:numPr>
        <w:rPr>
          <w:color w:val="000000"/>
        </w:rPr>
      </w:pPr>
      <w:r>
        <w:rPr>
          <w:color w:val="000000"/>
        </w:rPr>
        <w:t>Reduces repeat exposure and future compliance costs</w:t>
      </w:r>
    </w:p>
    <w:p w14:paraId="0549C63F" w14:textId="77777777" w:rsidR="00987DD9" w:rsidRDefault="00987DD9" w:rsidP="00987DD9">
      <w:pPr>
        <w:pStyle w:val="NormalWeb"/>
        <w:numPr>
          <w:ilvl w:val="0"/>
          <w:numId w:val="24"/>
        </w:numPr>
        <w:rPr>
          <w:color w:val="000000"/>
        </w:rPr>
      </w:pPr>
      <w:r>
        <w:rPr>
          <w:color w:val="000000"/>
        </w:rPr>
        <w:t>Improves operational control and documentation discipline</w:t>
      </w:r>
    </w:p>
    <w:p w14:paraId="7A4713EF" w14:textId="77777777" w:rsidR="00987DD9" w:rsidRDefault="00987DD9" w:rsidP="00987DD9">
      <w:pPr>
        <w:pStyle w:val="NormalWeb"/>
        <w:numPr>
          <w:ilvl w:val="0"/>
          <w:numId w:val="24"/>
        </w:numPr>
        <w:rPr>
          <w:color w:val="000000"/>
        </w:rPr>
      </w:pPr>
      <w:r>
        <w:rPr>
          <w:color w:val="000000"/>
        </w:rPr>
        <w:t>Strengthens long-term readiness and reduces audit friction</w:t>
      </w:r>
    </w:p>
    <w:p w14:paraId="13D4A8BF" w14:textId="77777777" w:rsidR="00987DD9" w:rsidRDefault="00987DD9" w:rsidP="00987DD9">
      <w:pPr>
        <w:pStyle w:val="NormalWeb"/>
        <w:rPr>
          <w:color w:val="000000"/>
        </w:rPr>
      </w:pPr>
      <w:r>
        <w:rPr>
          <w:rStyle w:val="Strong"/>
          <w:rFonts w:eastAsiaTheme="majorEastAsia"/>
          <w:color w:val="000000"/>
        </w:rPr>
        <w:t>Optional Framework Reference</w:t>
      </w:r>
    </w:p>
    <w:p w14:paraId="605A50AC" w14:textId="77777777" w:rsidR="00987DD9" w:rsidRDefault="00987DD9" w:rsidP="00987DD9">
      <w:pPr>
        <w:pStyle w:val="NormalWeb"/>
        <w:numPr>
          <w:ilvl w:val="0"/>
          <w:numId w:val="25"/>
        </w:numPr>
        <w:rPr>
          <w:color w:val="000000"/>
        </w:rPr>
      </w:pPr>
      <w:r>
        <w:rPr>
          <w:color w:val="000000"/>
        </w:rPr>
        <w:t>COSO-aligned control principles to reinforce repeatable, auditable governance over compliance processes</w:t>
      </w:r>
    </w:p>
    <w:p w14:paraId="4527BDE7" w14:textId="5E5BED6D" w:rsidR="00AE0F4D" w:rsidRPr="00987DD9" w:rsidRDefault="00AE0F4D" w:rsidP="00987DD9"/>
    <w:sectPr w:rsidR="00AE0F4D" w:rsidRPr="00987DD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C534D5C4"/>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3B96534"/>
    <w:multiLevelType w:val="multilevel"/>
    <w:tmpl w:val="A5BA7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70338F"/>
    <w:multiLevelType w:val="multilevel"/>
    <w:tmpl w:val="71205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4F2C43"/>
    <w:multiLevelType w:val="multilevel"/>
    <w:tmpl w:val="8BBE6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444F17"/>
    <w:multiLevelType w:val="multilevel"/>
    <w:tmpl w:val="FB9C4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1048F7"/>
    <w:multiLevelType w:val="multilevel"/>
    <w:tmpl w:val="C44E5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8C4119"/>
    <w:multiLevelType w:val="multilevel"/>
    <w:tmpl w:val="506E1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B8165A"/>
    <w:multiLevelType w:val="multilevel"/>
    <w:tmpl w:val="48900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5D1EF3"/>
    <w:multiLevelType w:val="multilevel"/>
    <w:tmpl w:val="0F9EA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E91A7D"/>
    <w:multiLevelType w:val="multilevel"/>
    <w:tmpl w:val="B8C28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261879"/>
    <w:multiLevelType w:val="multilevel"/>
    <w:tmpl w:val="1604E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1C3243"/>
    <w:multiLevelType w:val="multilevel"/>
    <w:tmpl w:val="FFAC2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977615"/>
    <w:multiLevelType w:val="multilevel"/>
    <w:tmpl w:val="86BA2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76F61FA"/>
    <w:multiLevelType w:val="multilevel"/>
    <w:tmpl w:val="F2D8D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E546D2D"/>
    <w:multiLevelType w:val="multilevel"/>
    <w:tmpl w:val="3C12E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279632E"/>
    <w:multiLevelType w:val="multilevel"/>
    <w:tmpl w:val="7048F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96D21A5"/>
    <w:multiLevelType w:val="multilevel"/>
    <w:tmpl w:val="03542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0182768">
    <w:abstractNumId w:val="8"/>
  </w:num>
  <w:num w:numId="2" w16cid:durableId="157499576">
    <w:abstractNumId w:val="6"/>
  </w:num>
  <w:num w:numId="3" w16cid:durableId="1726490834">
    <w:abstractNumId w:val="5"/>
  </w:num>
  <w:num w:numId="4" w16cid:durableId="1402143536">
    <w:abstractNumId w:val="4"/>
  </w:num>
  <w:num w:numId="5" w16cid:durableId="507864105">
    <w:abstractNumId w:val="7"/>
  </w:num>
  <w:num w:numId="6" w16cid:durableId="173689375">
    <w:abstractNumId w:val="3"/>
  </w:num>
  <w:num w:numId="7" w16cid:durableId="7876201">
    <w:abstractNumId w:val="2"/>
  </w:num>
  <w:num w:numId="8" w16cid:durableId="470291227">
    <w:abstractNumId w:val="1"/>
  </w:num>
  <w:num w:numId="9" w16cid:durableId="281303168">
    <w:abstractNumId w:val="0"/>
  </w:num>
  <w:num w:numId="10" w16cid:durableId="804736415">
    <w:abstractNumId w:val="11"/>
  </w:num>
  <w:num w:numId="11" w16cid:durableId="616453460">
    <w:abstractNumId w:val="9"/>
  </w:num>
  <w:num w:numId="12" w16cid:durableId="1531190211">
    <w:abstractNumId w:val="18"/>
  </w:num>
  <w:num w:numId="13" w16cid:durableId="1571380399">
    <w:abstractNumId w:val="12"/>
  </w:num>
  <w:num w:numId="14" w16cid:durableId="555746599">
    <w:abstractNumId w:val="20"/>
  </w:num>
  <w:num w:numId="15" w16cid:durableId="702175439">
    <w:abstractNumId w:val="16"/>
  </w:num>
  <w:num w:numId="16" w16cid:durableId="120079440">
    <w:abstractNumId w:val="17"/>
  </w:num>
  <w:num w:numId="17" w16cid:durableId="1398284686">
    <w:abstractNumId w:val="24"/>
  </w:num>
  <w:num w:numId="18" w16cid:durableId="1174959627">
    <w:abstractNumId w:val="22"/>
  </w:num>
  <w:num w:numId="19" w16cid:durableId="897864818">
    <w:abstractNumId w:val="15"/>
  </w:num>
  <w:num w:numId="20" w16cid:durableId="1607275503">
    <w:abstractNumId w:val="21"/>
  </w:num>
  <w:num w:numId="21" w16cid:durableId="201989529">
    <w:abstractNumId w:val="23"/>
  </w:num>
  <w:num w:numId="22" w16cid:durableId="2061590221">
    <w:abstractNumId w:val="14"/>
  </w:num>
  <w:num w:numId="23" w16cid:durableId="1651669632">
    <w:abstractNumId w:val="13"/>
  </w:num>
  <w:num w:numId="24" w16cid:durableId="1367171983">
    <w:abstractNumId w:val="19"/>
  </w:num>
  <w:num w:numId="25" w16cid:durableId="81395894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4"/>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2346"/>
    <w:rsid w:val="00034616"/>
    <w:rsid w:val="0006063C"/>
    <w:rsid w:val="0015074B"/>
    <w:rsid w:val="0029639D"/>
    <w:rsid w:val="00326F90"/>
    <w:rsid w:val="003C26C5"/>
    <w:rsid w:val="004F1F4D"/>
    <w:rsid w:val="005B242E"/>
    <w:rsid w:val="00987DD9"/>
    <w:rsid w:val="00AA1D8D"/>
    <w:rsid w:val="00AE0F4D"/>
    <w:rsid w:val="00B47730"/>
    <w:rsid w:val="00B7184F"/>
    <w:rsid w:val="00BA3899"/>
    <w:rsid w:val="00BB487F"/>
    <w:rsid w:val="00C85C30"/>
    <w:rsid w:val="00CB0664"/>
    <w:rsid w:val="00CD6F65"/>
    <w:rsid w:val="00E26E5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5F2CEC"/>
  <w14:defaultImageDpi w14:val="300"/>
  <w15:docId w15:val="{E3392A07-D58E-EE4B-B60E-88D48D9F1A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987DD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987DD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Pages>
  <Words>765</Words>
  <Characters>5091</Characters>
  <Application>Microsoft Office Word</Application>
  <DocSecurity>0</DocSecurity>
  <Lines>108</Lines>
  <Paragraphs>75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nischal siwakoti</cp:lastModifiedBy>
  <cp:revision>6</cp:revision>
  <dcterms:created xsi:type="dcterms:W3CDTF">2013-12-23T23:15:00Z</dcterms:created>
  <dcterms:modified xsi:type="dcterms:W3CDTF">2026-02-01T22:32:00Z</dcterms:modified>
  <cp:category/>
</cp:coreProperties>
</file>