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B2D4F"/>
          <w:sz w:val="36"/>
          <w:szCs w:val="36"/>
        </w:rPr>
        <w:t xml:space="preserve">PIMCO × Bellwether Investor Portal</w:t>
      </w:r>
    </w:p>
    <w:p>
      <w:pPr>
        <w:spacing w:after="320"/>
      </w:pPr>
      <w:r>
        <w:rPr>
          <w:i/>
          <w:iCs/>
          <w:color w:val="6B7280"/>
          <w:sz w:val="22"/>
          <w:szCs w:val="22"/>
        </w:rPr>
        <w:t xml:space="preserve">Engineering scope — from clickable prototype to production</w:t>
      </w:r>
    </w:p>
    <w:p>
      <w:pPr>
        <w:pStyle w:val="Heading2"/>
      </w:pPr>
      <w:r>
        <w:t xml:space="preserve">Context</w:t>
      </w:r>
    </w:p>
    <w:p>
      <w:r>
        <w:t xml:space="preserve">Bellwether Asset Management has built a clickable HTML prototype of the PIMCO investor portal. It renders the March 2026 watchlist tape — 24 active loans, $1.0B UPB, 3 on yellow watchlist — and demonstrates the full navigation and visual language for a debt-portfolio investor portal. This document scopes the work required to take that prototype to a production system Bellwether can stand up for PIMCO (and reuse for future asset-management clients).</w:t>
      </w:r>
    </w:p>
    <w:p>
      <w:r>
        <w:rPr>
          <w:b/>
          <w:bCs/>
        </w:rPr>
        <w:t xml:space="preserve">Prototype location: </w:t>
      </w:r>
      <w:r>
        <w:t xml:space="preserve">static HTML/CSS/JS, 38 pages, all data hard-coded.</w:t>
      </w:r>
    </w:p>
    <w:p>
      <w:r>
        <w:rPr>
          <w:b/>
          <w:bCs/>
        </w:rPr>
        <w:t xml:space="preserve">Prototype source files: </w:t>
      </w:r>
      <w:r>
        <w:t xml:space="preserve">`portal/` folder in the bellwether-tech-architecture repo.</w:t>
      </w:r>
    </w:p>
    <w:p>
      <w:pPr>
        <w:pStyle w:val="Heading2"/>
      </w:pPr>
      <w:r>
        <w:t xml:space="preserve">Architecture principles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Read-only for the client. </w:t>
      </w:r>
      <w:r>
        <w:t xml:space="preserve">PIMCO never enters data into the portal — every value is sourced from systems Bellwether already manages.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Single codebase, multi-tenant. </w:t>
      </w:r>
      <w:r>
        <w:t xml:space="preserve">Branding, entitled loans, and deal-team roster are config — the same portal serves every Bellwether AM client.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Server-side filtering. </w:t>
      </w:r>
      <w:r>
        <w:t xml:space="preserve">Every API enforces row-level filters based on the logged-in user's entitlement; never trust the client.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Tape-versioned data. </w:t>
      </w:r>
      <w:r>
        <w:t xml:space="preserve">Every read can be filtered by as-of date. UI shows the tape it's reading from.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Embed where it makes sense. </w:t>
      </w:r>
      <w:r>
        <w:t xml:space="preserve">Tableau / Sigma already own the visualization layer for the reporting tiles; the portal embeds rather than re-implements.</w:t>
      </w:r>
    </w:p>
    <w:p>
      <w:pPr>
        <w:pStyle w:val="Heading2"/>
      </w:pPr>
      <w:r>
        <w:t xml:space="preserve">Scope by surface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80"/>
        <w:gridCol w:w="378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Surface</w:t>
            </w:r>
          </w:p>
        </w:tc>
        <w:tc>
          <w:tcPr>
            <w:tcW w:type="dxa" w:w="3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Prototype state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Production scope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A1628"/>
                <w:sz w:val="20"/>
                <w:szCs w:val="20"/>
              </w:rPr>
              <w:t xml:space="preserve">Home + Topbar</w:t>
            </w:r>
          </w:p>
        </w:tc>
        <w:tc>
          <w:tcPr>
            <w:tcW w:type="dxa" w:w="3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A1628"/>
                <w:sz w:val="20"/>
                <w:szCs w:val="20"/>
              </w:rPr>
              <w:t xml:space="preserve">Static HTML; global search runs against hard-coded loan array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A1628"/>
                <w:sz w:val="20"/>
                <w:szCs w:val="20"/>
              </w:rPr>
              <w:t xml:space="preserve">Wire global search to live loan catalog (sponsor, city, state, asset manager). SSO sign-in. Persist theme preference. Permission-aware tile visibility.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A1628"/>
                <w:sz w:val="20"/>
                <w:szCs w:val="20"/>
              </w:rPr>
              <w:t xml:space="preserve">Loan Portfolio Overview</w:t>
            </w:r>
          </w:p>
        </w:tc>
        <w:tc>
          <w:tcPr>
            <w:tcW w:type="dxa" w:w="3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A1628"/>
                <w:sz w:val="20"/>
                <w:szCs w:val="20"/>
              </w:rPr>
              <w:t xml:space="preserve">24 loans from March 2026 tape; donuts/maturity/runoff/risk render from baked JSON; map is an image placeholder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A1628"/>
                <w:sz w:val="20"/>
                <w:szCs w:val="20"/>
              </w:rPr>
              <w:t xml:space="preserve">Hook KPIs and tables to Bellwether's Sigma/data lake. Replace map with Mapbox tiles, one feature per loan keyed to lat/long. Drill-throughs honor PIMCO row-level filters.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A1628"/>
                <w:sz w:val="20"/>
                <w:szCs w:val="20"/>
              </w:rPr>
              <w:t xml:space="preserve">Loan summary (per loan)</w:t>
            </w:r>
          </w:p>
        </w:tc>
        <w:tc>
          <w:tcPr>
            <w:tcW w:type="dxa" w:w="3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A1628"/>
                <w:sz w:val="20"/>
                <w:szCs w:val="20"/>
              </w:rPr>
              <w:t xml:space="preserve">3 watchlist loans fully populated; other 21 use generic template + Notes tab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A1628"/>
                <w:sz w:val="20"/>
                <w:szCs w:val="20"/>
              </w:rPr>
              <w:t xml:space="preserve">Populate Covenants, Collateral, Cap Stack, Documents, Activity tabs for all 24 loans from the loan-doc store. Documents tab reads from S3/SharePoint with signed URLs.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A1628"/>
                <w:sz w:val="20"/>
                <w:szCs w:val="20"/>
              </w:rPr>
              <w:t xml:space="preserve">Notes</w:t>
            </w:r>
          </w:p>
        </w:tc>
        <w:tc>
          <w:tcPr>
            <w:tcW w:type="dxa" w:w="3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A1628"/>
                <w:sz w:val="20"/>
                <w:szCs w:val="20"/>
              </w:rPr>
              <w:t xml:space="preserve">Portfolio + per-loan, persisted to browser localStorage only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A1628"/>
                <w:sz w:val="20"/>
                <w:szCs w:val="20"/>
              </w:rPr>
              <w:t xml:space="preserve">REST API for note CRUD with user attribution. Bellwether-owned DB (Postgres or DynamoDB). @-mentions, email/Slack notifications on tag, edit history.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A1628"/>
                <w:sz w:val="20"/>
                <w:szCs w:val="20"/>
              </w:rPr>
              <w:t xml:space="preserve">Reporting</w:t>
            </w:r>
          </w:p>
        </w:tc>
        <w:tc>
          <w:tcPr>
            <w:tcW w:type="dxa" w:w="3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A1628"/>
                <w:sz w:val="20"/>
                <w:szCs w:val="20"/>
              </w:rPr>
              <w:t xml:space="preserve">Six preview tiles (mock SVGs); deliverables list renders mock PDFs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A1628"/>
                <w:sz w:val="20"/>
                <w:szCs w:val="20"/>
              </w:rPr>
              <w:t xml:space="preserve">Live Tableau or Sigma embeds for each tile (iframe with row-level filtering by client). Deliverables list reads from doc store; preview uses signed S3 URLs.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A1628"/>
                <w:sz w:val="20"/>
                <w:szCs w:val="20"/>
              </w:rPr>
              <w:t xml:space="preserve">Bellwether AI (Sigma chat)</w:t>
            </w:r>
          </w:p>
        </w:tc>
        <w:tc>
          <w:tcPr>
            <w:tcW w:type="dxa" w:w="3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A1628"/>
                <w:sz w:val="20"/>
                <w:szCs w:val="20"/>
              </w:rPr>
              <w:t xml:space="preserve">Floating button; returns static demo response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A1628"/>
                <w:sz w:val="20"/>
                <w:szCs w:val="20"/>
              </w:rPr>
              <w:t xml:space="preserve">Wire to LLM (Claude / Azure OpenAI) with portal catalog as RAG context. Audit log every prompt + response. Per-tenant data scope enforced server-side.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A1628"/>
                <w:sz w:val="20"/>
                <w:szCs w:val="20"/>
              </w:rPr>
              <w:t xml:space="preserve">Heat map</w:t>
            </w:r>
          </w:p>
        </w:tc>
        <w:tc>
          <w:tcPr>
            <w:tcW w:type="dxa" w:w="3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A1628"/>
                <w:sz w:val="20"/>
                <w:szCs w:val="20"/>
              </w:rPr>
              <w:t xml:space="preserve">Static placeholder image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A1628"/>
                <w:sz w:val="20"/>
                <w:szCs w:val="20"/>
              </w:rPr>
              <w:t xml:space="preserve">Mapbox GL JS with custom Bellwether style. Bubble = loan, size = UPB, color = rating. Click → loan summary.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A1628"/>
                <w:sz w:val="20"/>
                <w:szCs w:val="20"/>
              </w:rPr>
              <w:t xml:space="preserve">Multi-tenant shell</w:t>
            </w:r>
          </w:p>
        </w:tc>
        <w:tc>
          <w:tcPr>
            <w:tcW w:type="dxa" w:w="3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A1628"/>
                <w:sz w:val="20"/>
                <w:szCs w:val="20"/>
              </w:rPr>
              <w:t xml:space="preserve">Hard-coded PIMCO branding and loan list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A1628"/>
                <w:sz w:val="20"/>
                <w:szCs w:val="20"/>
              </w:rPr>
              <w:t xml:space="preserve">Tenant config service: brand (logo, colors), entitled loans, deal-team roster. Single codebase serves all Bellwether asset-management clients.</w:t>
            </w:r>
          </w:p>
        </w:tc>
      </w:tr>
    </w:tbl>
    <w:p>
      <w:pPr>
        <w:pStyle w:val="Heading2"/>
        <w:spacing w:before="320"/>
      </w:pPr>
      <w:r>
        <w:t xml:space="preserve">Proposed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Proposed technology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A1628"/>
                <w:sz w:val="20"/>
                <w:szCs w:val="20"/>
              </w:rPr>
              <w:t xml:space="preserve">Frontend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A1628"/>
                <w:sz w:val="20"/>
                <w:szCs w:val="20"/>
              </w:rPr>
              <w:t xml:space="preserve">React + TypeScript + Vite. Port the existing HTML/CSS into a component library; keep the visual language one-to-one.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A1628"/>
                <w:sz w:val="20"/>
                <w:szCs w:val="20"/>
              </w:rPr>
              <w:t xml:space="preserve">Charts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A1628"/>
                <w:sz w:val="20"/>
                <w:szCs w:val="20"/>
              </w:rPr>
              <w:t xml:space="preserve">Recharts or Chart.js for in-portal; iframe-embedded Tableau/Sigma for the Reporting tiles.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A1628"/>
                <w:sz w:val="20"/>
                <w:szCs w:val="20"/>
              </w:rPr>
              <w:t xml:space="preserve">Map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A1628"/>
                <w:sz w:val="20"/>
                <w:szCs w:val="20"/>
              </w:rPr>
              <w:t xml:space="preserve">Mapbox GL JS with custom Bellwether style. PMTiles for static layers if needed.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A1628"/>
                <w:sz w:val="20"/>
                <w:szCs w:val="20"/>
              </w:rPr>
              <w:t xml:space="preserve">Backend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A1628"/>
                <w:sz w:val="20"/>
                <w:szCs w:val="20"/>
              </w:rPr>
              <w:t xml:space="preserve">Node.js (Express or Fastify) or Python (FastAPI). REST first; consider GraphQL if entitled-loan filtering gets complex.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A1628"/>
                <w:sz w:val="20"/>
                <w:szCs w:val="20"/>
              </w:rPr>
              <w:t xml:space="preserve">Database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A1628"/>
                <w:sz w:val="20"/>
                <w:szCs w:val="20"/>
              </w:rPr>
              <w:t xml:space="preserve">Postgres (managed — RDS or Aurora). Tape data + notes + tenant config. Read-replicas for the analytics surfaces.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A1628"/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A1628"/>
                <w:sz w:val="20"/>
                <w:szCs w:val="20"/>
              </w:rPr>
              <w:t xml:space="preserve">S3 (or Azure Blob) for loan documents + flash reports. Signed URLs on demand; never served direct.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A1628"/>
                <w:sz w:val="20"/>
                <w:szCs w:val="20"/>
              </w:rPr>
              <w:t xml:space="preserve">Auth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A1628"/>
                <w:sz w:val="20"/>
                <w:szCs w:val="20"/>
              </w:rPr>
              <w:t xml:space="preserve">SAML SSO via Okta or Azure AD. Bellwether issues identities for both Bellwether AM and client (PIMCO) users.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A1628"/>
                <w:sz w:val="20"/>
                <w:szCs w:val="20"/>
              </w:rPr>
              <w:t xml:space="preserve">AI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A1628"/>
                <w:sz w:val="20"/>
                <w:szCs w:val="20"/>
              </w:rPr>
              <w:t xml:space="preserve">Anthropic Claude (or Azure OpenAI) via server-side proxy. Never call the model from the browser. Per-tenant prompt budgets.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A1628"/>
                <w:sz w:val="20"/>
                <w:szCs w:val="20"/>
              </w:rPr>
              <w:t xml:space="preserve">Hosting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A1628"/>
                <w:sz w:val="20"/>
                <w:szCs w:val="20"/>
              </w:rPr>
              <w:t xml:space="preserve">AWS (recommended) or Azure. CloudFront/Front Door for CDN. Vercel acceptable for the frontend if backend is on AWS.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A1628"/>
                <w:sz w:val="20"/>
                <w:szCs w:val="20"/>
              </w:rPr>
              <w:t xml:space="preserve">CI/CD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A1628"/>
                <w:sz w:val="20"/>
                <w:szCs w:val="20"/>
              </w:rPr>
              <w:t xml:space="preserve">GitHub Actions. Branch-deploy preview environments for stakeholder review.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A1628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A1628"/>
                <w:sz w:val="20"/>
                <w:szCs w:val="20"/>
              </w:rPr>
              <w:t xml:space="preserve">Datadog or NewRelic. Sentry for frontend errors. Audit log to a separate sink (S3 + Athena).</w:t>
            </w:r>
          </w:p>
        </w:tc>
      </w:tr>
    </w:tbl>
    <w:p>
      <w:pPr>
        <w:pStyle w:val="Heading2"/>
        <w:spacing w:before="320"/>
      </w:pPr>
      <w:r>
        <w:t xml:space="preserve">Phased delivery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3060"/>
        <w:gridCol w:w="2400"/>
      </w:tblGrid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Major work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Effort (eng-weeks)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A1628"/>
                <w:sz w:val="20"/>
                <w:szCs w:val="20"/>
              </w:rPr>
              <w:t xml:space="preserve">Phase 0 — Demo polish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A1628"/>
                <w:sz w:val="20"/>
                <w:szCs w:val="20"/>
              </w:rPr>
              <w:t xml:space="preserve">Prototype ready for client + exec walkthroughs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A1628"/>
                <w:sz w:val="20"/>
                <w:szCs w:val="20"/>
              </w:rPr>
              <w:t xml:space="preserve">Visual QA pass in dark mode; accessibility pass (keyboard nav, ARIA); print stylesheet for Covenants PDF export; mobile breakpoint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A1628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A1628"/>
                <w:sz w:val="20"/>
                <w:szCs w:val="20"/>
              </w:rPr>
              <w:t xml:space="preserve">Phase 1 — Wire it real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A1628"/>
                <w:sz w:val="20"/>
                <w:szCs w:val="20"/>
              </w:rPr>
              <w:t xml:space="preserve">Two live surfaces, real data round-trip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A1628"/>
                <w:sz w:val="20"/>
                <w:szCs w:val="20"/>
              </w:rPr>
              <w:t xml:space="preserve">(a) Tableau or Sigma embed for 1–2 tiles, (b) Mapbox geo map, (c) Notes REST API with auth + Postgres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A1628"/>
                <w:sz w:val="20"/>
                <w:szCs w:val="20"/>
              </w:rPr>
              <w:t xml:space="preserve">4–6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A1628"/>
                <w:sz w:val="20"/>
                <w:szCs w:val="20"/>
              </w:rPr>
              <w:t xml:space="preserve">Phase 2 — Full data backplane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A1628"/>
                <w:sz w:val="20"/>
                <w:szCs w:val="20"/>
              </w:rPr>
              <w:t xml:space="preserve">Every page reads live data; nightly tape ingest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A1628"/>
                <w:sz w:val="20"/>
                <w:szCs w:val="20"/>
              </w:rPr>
              <w:t xml:space="preserve">Loan catalog service; tape-versioning + as-of-date; document store integration; user/permission model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A1628"/>
                <w:sz w:val="20"/>
                <w:szCs w:val="20"/>
              </w:rPr>
              <w:t xml:space="preserve">8–12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A1628"/>
                <w:sz w:val="20"/>
                <w:szCs w:val="20"/>
              </w:rPr>
              <w:t xml:space="preserve">Phase 3 — Production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A1628"/>
                <w:sz w:val="20"/>
                <w:szCs w:val="20"/>
              </w:rPr>
              <w:t xml:space="preserve">GA: SSO, audit, multi-tenant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A1628"/>
                <w:sz w:val="20"/>
                <w:szCs w:val="20"/>
              </w:rPr>
              <w:t xml:space="preserve">SSO/SAML, audit trail, tenant config service, monitoring/alerting, RBAC, runbook + on-call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A1628"/>
                <w:sz w:val="20"/>
                <w:szCs w:val="20"/>
              </w:rPr>
              <w:t xml:space="preserve">8–10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A1628"/>
                <w:sz w:val="20"/>
                <w:szCs w:val="20"/>
              </w:rPr>
              <w:t xml:space="preserve">Phase 4 — AI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A1628"/>
                <w:sz w:val="20"/>
                <w:szCs w:val="20"/>
              </w:rPr>
              <w:t xml:space="preserve">Bellwether AI chat live with portal context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A1628"/>
                <w:sz w:val="20"/>
                <w:szCs w:val="20"/>
              </w:rPr>
              <w:t xml:space="preserve">RAG over loan catalog + docs; prompt allow-list; per-tenant data scope enforcement; logging + cost controls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A1628"/>
                <w:sz w:val="20"/>
                <w:szCs w:val="20"/>
              </w:rPr>
              <w:t xml:space="preserve">4–6</w:t>
            </w:r>
          </w:p>
        </w:tc>
      </w:tr>
    </w:tbl>
    <w:p>
      <w:pPr>
        <w:pStyle w:val="Heading2"/>
        <w:spacing w:before="320"/>
      </w:pPr>
      <w:r>
        <w:t xml:space="preserve">Data contracts to nail down</w:t>
      </w:r>
    </w:p>
    <w:p>
      <w:pPr>
        <w:pStyle w:val="ListParagraph"/>
        <w:numPr>
          <w:ilvl w:val="0"/>
          <w:numId w:val="2"/>
        </w:numPr>
      </w:pPr>
      <w:r>
        <w:t xml:space="preserve">Loan catalog — every field shown in the portal (sponsor, UPB, rate, LTV, DSCR, occupancy, maturity, rating, asset manager) must map to a tape column or computed field. Need a source-of-truth spec for the 24 fields we currently surface.</w:t>
      </w:r>
    </w:p>
    <w:p>
      <w:pPr>
        <w:pStyle w:val="ListParagraph"/>
        <w:numPr>
          <w:ilvl w:val="0"/>
          <w:numId w:val="2"/>
        </w:numPr>
      </w:pPr>
      <w:r>
        <w:t xml:space="preserve">Document index — for every loan, what documents exist (IC memo, LSR, rent roll, appraisal, etc.) and where they live. Probably an extension of Bellwether's existing doc-management process.</w:t>
      </w:r>
    </w:p>
    <w:p>
      <w:pPr>
        <w:pStyle w:val="ListParagraph"/>
        <w:numPr>
          <w:ilvl w:val="0"/>
          <w:numId w:val="2"/>
        </w:numPr>
      </w:pPr>
      <w:r>
        <w:t xml:space="preserve">Covenant trigger thresholds — which are loan-level vs portfolio-level, who can edit them, and how cure tracking is represented.</w:t>
      </w:r>
    </w:p>
    <w:p>
      <w:pPr>
        <w:pStyle w:val="ListParagraph"/>
        <w:numPr>
          <w:ilvl w:val="0"/>
          <w:numId w:val="2"/>
        </w:numPr>
      </w:pPr>
      <w:r>
        <w:t xml:space="preserve">Note model — fields (author, tag, loan, body, when, mentions), retention rules, who can edit/delete (probably author-only + Bellwether admin).</w:t>
      </w:r>
    </w:p>
    <w:p>
      <w:pPr>
        <w:pStyle w:val="ListParagraph"/>
        <w:numPr>
          <w:ilvl w:val="0"/>
          <w:numId w:val="2"/>
        </w:numPr>
      </w:pPr>
      <w:r>
        <w:t xml:space="preserve">Tenant config schema — brand assets, entitled loan IDs, deal-team roster, feature flags.</w:t>
      </w:r>
    </w:p>
    <w:p>
      <w:pPr>
        <w:pStyle w:val="Heading2"/>
      </w:pPr>
      <w:r>
        <w:t xml:space="preserve">Open decisions needed before kickoff</w:t>
      </w:r>
    </w:p>
    <w:p>
      <w:pPr>
        <w:pStyle w:val="ListParagraph"/>
        <w:numPr>
          <w:ilvl w:val="0"/>
          <w:numId w:val="2"/>
        </w:numPr>
      </w:pPr>
      <w:r>
        <w:t xml:space="preserve">Hosting platform — AWS vs Azure vs Vercel + AWS hybrid? Drives identity-provider integration.</w:t>
      </w:r>
    </w:p>
    <w:p>
      <w:pPr>
        <w:pStyle w:val="ListParagraph"/>
        <w:numPr>
          <w:ilvl w:val="0"/>
          <w:numId w:val="2"/>
        </w:numPr>
      </w:pPr>
      <w:r>
        <w:t xml:space="preserve">Embed platform — Tableau or Sigma for the Reporting tiles? Affects auth flow and licensing cost.</w:t>
      </w:r>
    </w:p>
    <w:p>
      <w:pPr>
        <w:pStyle w:val="ListParagraph"/>
        <w:numPr>
          <w:ilvl w:val="0"/>
          <w:numId w:val="2"/>
        </w:numPr>
      </w:pPr>
      <w:r>
        <w:t xml:space="preserve">Identity provider — Bellwether SSO via Okta? Azure AD? Does PIMCO want to federate their own IdP?</w:t>
      </w:r>
    </w:p>
    <w:p>
      <w:pPr>
        <w:pStyle w:val="ListParagraph"/>
        <w:numPr>
          <w:ilvl w:val="0"/>
          <w:numId w:val="2"/>
        </w:numPr>
      </w:pPr>
      <w:r>
        <w:t xml:space="preserve">Notes scope at launch — collaborative live feed (Slack-like) or audit-trail only? Affects the notification surface area.</w:t>
      </w:r>
    </w:p>
    <w:p>
      <w:pPr>
        <w:pStyle w:val="ListParagraph"/>
        <w:numPr>
          <w:ilvl w:val="0"/>
          <w:numId w:val="2"/>
        </w:numPr>
      </w:pPr>
      <w:r>
        <w:t xml:space="preserve">AI launch timing — ship the chat in Phase 1 with a narrow scope, or wait for Phase 4 once the data backplane is solid?</w:t>
      </w:r>
    </w:p>
    <w:p>
      <w:pPr>
        <w:pStyle w:val="ListParagraph"/>
        <w:numPr>
          <w:ilvl w:val="0"/>
          <w:numId w:val="2"/>
        </w:numPr>
      </w:pPr>
      <w:r>
        <w:t xml:space="preserve">Tape cadence — daily incremental or quarterly snapshot? Drives ingest architecture.</w:t>
      </w:r>
    </w:p>
    <w:p>
      <w:pPr>
        <w:pStyle w:val="ListParagraph"/>
        <w:numPr>
          <w:ilvl w:val="0"/>
          <w:numId w:val="2"/>
        </w:numPr>
      </w:pPr>
      <w:r>
        <w:t xml:space="preserve">Mobile — do we support mobile viewports at launch, or desktop-only initially?</w:t>
      </w:r>
    </w:p>
    <w:p>
      <w:pPr>
        <w:pStyle w:val="Heading2"/>
      </w:pPr>
      <w:r>
        <w:t xml:space="preserve">Recommended team</w:t>
      </w:r>
    </w:p>
    <w:p>
      <w:pPr>
        <w:pStyle w:val="ListParagraph"/>
        <w:numPr>
          <w:ilvl w:val="0"/>
          <w:numId w:val="2"/>
        </w:numPr>
      </w:pPr>
      <w:r>
        <w:t xml:space="preserve">1 tech lead (full-stack)</w:t>
      </w:r>
    </w:p>
    <w:p>
      <w:pPr>
        <w:pStyle w:val="ListParagraph"/>
        <w:numPr>
          <w:ilvl w:val="0"/>
          <w:numId w:val="2"/>
        </w:numPr>
      </w:pPr>
      <w:r>
        <w:t xml:space="preserve">1–2 frontend engineers (React)</w:t>
      </w:r>
    </w:p>
    <w:p>
      <w:pPr>
        <w:pStyle w:val="ListParagraph"/>
        <w:numPr>
          <w:ilvl w:val="0"/>
          <w:numId w:val="2"/>
        </w:numPr>
      </w:pPr>
      <w:r>
        <w:t xml:space="preserve">1 backend engineer (API, data, integrations)</w:t>
      </w:r>
    </w:p>
    <w:p>
      <w:pPr>
        <w:pStyle w:val="ListParagraph"/>
        <w:numPr>
          <w:ilvl w:val="0"/>
          <w:numId w:val="2"/>
        </w:numPr>
      </w:pPr>
      <w:r>
        <w:t xml:space="preserve">1 data engineer (tape ingest, Tableau/Sigma plumbing, half-time after Phase 2)</w:t>
      </w:r>
    </w:p>
    <w:p>
      <w:pPr>
        <w:pStyle w:val="ListParagraph"/>
        <w:numPr>
          <w:ilvl w:val="0"/>
          <w:numId w:val="2"/>
        </w:numPr>
      </w:pPr>
      <w:r>
        <w:t xml:space="preserve">1 designer (part-time)</w:t>
      </w:r>
    </w:p>
    <w:p>
      <w:pPr>
        <w:pStyle w:val="ListParagraph"/>
        <w:numPr>
          <w:ilvl w:val="0"/>
          <w:numId w:val="2"/>
        </w:numPr>
      </w:pPr>
      <w:r>
        <w:t xml:space="preserve">1 PM (part-time)</w:t>
      </w:r>
    </w:p>
    <w:p>
      <w:pPr>
        <w:spacing w:before="100"/>
      </w:pPr>
      <w:r>
        <w:rPr>
          <w:b/>
          <w:bCs/>
        </w:rPr>
        <w:t xml:space="preserve">Total: </w:t>
      </w:r>
      <w:r>
        <w:t xml:space="preserve">~4 FTE for 4–5 months to ship Phases 0–3. Add 1 FTE × 2 months for Phase 4 (AI).</w:t>
      </w:r>
    </w:p>
    <w:p>
      <w:pPr>
        <w:pStyle w:val="Heading2"/>
      </w:pPr>
      <w:r>
        <w:t xml:space="preserve">Explicitly out of scope (for v1)</w:t>
      </w:r>
    </w:p>
    <w:p>
      <w:pPr>
        <w:pStyle w:val="ListParagraph"/>
        <w:numPr>
          <w:ilvl w:val="0"/>
          <w:numId w:val="2"/>
        </w:numPr>
      </w:pPr>
      <w:r>
        <w:t xml:space="preserve">Trade execution or settlement workflows — read-only portal.</w:t>
      </w:r>
    </w:p>
    <w:p>
      <w:pPr>
        <w:pStyle w:val="ListParagraph"/>
        <w:numPr>
          <w:ilvl w:val="0"/>
          <w:numId w:val="2"/>
        </w:numPr>
      </w:pPr>
      <w:r>
        <w:t xml:space="preserve">Direct integration with PIMCO internal systems — PIMCO consumes the portal; we don't push into their stack.</w:t>
      </w:r>
    </w:p>
    <w:p>
      <w:pPr>
        <w:pStyle w:val="ListParagraph"/>
        <w:numPr>
          <w:ilvl w:val="0"/>
          <w:numId w:val="2"/>
        </w:numPr>
      </w:pPr>
      <w:r>
        <w:t xml:space="preserve">Mobile app — responsive web first, native later if demand is there.</w:t>
      </w:r>
    </w:p>
    <w:p>
      <w:pPr>
        <w:pStyle w:val="ListParagraph"/>
        <w:numPr>
          <w:ilvl w:val="0"/>
          <w:numId w:val="2"/>
        </w:numPr>
      </w:pPr>
      <w:r>
        <w:t xml:space="preserve">White-label client self-service — Bellwether configures every new client; not exposed to clients.</w:t>
      </w:r>
    </w:p>
    <w:p>
      <w:pPr>
        <w:spacing w:before="360"/>
      </w:pPr>
      <w:r>
        <w:rPr>
          <w:b/>
          <w:bCs/>
        </w:rPr>
        <w:t xml:space="preserve">Next step: </w:t>
      </w:r>
      <w:r>
        <w:t xml:space="preserve">schedule a kickoff with engineering to size Phase 0 + Phase 1 in story-point detail and pick the hosting platform.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0B2D4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1C2B5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2026-05-18T18:20:06.020Z</dcterms:created>
  <dcterms:modified xsi:type="dcterms:W3CDTF">2026-05-18T18:20:06.021Z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