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929D0" w14:textId="77777777" w:rsidR="008B66A6" w:rsidRDefault="00000000">
      <w:pPr>
        <w:pStyle w:val="Title"/>
      </w:pPr>
      <w:r>
        <w:t>main_script</w:t>
      </w:r>
    </w:p>
    <w:p w14:paraId="797929D1" w14:textId="77777777" w:rsidR="008B66A6" w:rsidRDefault="00000000">
      <w:pPr>
        <w:pStyle w:val="Heading1"/>
      </w:pPr>
      <w:bookmarkStart w:id="0" w:name="start"/>
      <w:r>
        <w:t>start</w:t>
      </w:r>
    </w:p>
    <w:p w14:paraId="797929D2" w14:textId="77777777" w:rsidR="008B66A6" w:rsidRDefault="00000000">
      <w:pPr>
        <w:pStyle w:val="FirstParagraph"/>
      </w:pPr>
      <w:r>
        <w:t>First we’ll grab the data, if you don’t know your project’s name, you can find all available project names in the initial-check chunk. Adjust the dates above in the parameters. This will constrain the data pull.</w:t>
      </w:r>
    </w:p>
    <w:p w14:paraId="797929D3" w14:textId="77777777" w:rsidR="008B66A6" w:rsidRDefault="00000000">
      <w:pPr>
        <w:pStyle w:val="BodyText"/>
      </w:pPr>
      <w:r>
        <w:t>check the range and project list - enter/change your project here</w:t>
      </w:r>
    </w:p>
    <w:p w14:paraId="797929D4" w14:textId="77777777" w:rsidR="008B66A6" w:rsidRDefault="00000000">
      <w:pPr>
        <w:pStyle w:val="SourceCode"/>
      </w:pPr>
      <w:r>
        <w:rPr>
          <w:rStyle w:val="VerbatimChar"/>
        </w:rPr>
        <w:t>[1] "2025-03-11 16:43:00 EDT" "2025-11-22 17:15:00 EST"</w:t>
      </w:r>
    </w:p>
    <w:p w14:paraId="797929D5" w14:textId="77777777" w:rsidR="008B66A6" w:rsidRDefault="00000000">
      <w:pPr>
        <w:pStyle w:val="SourceCode"/>
      </w:pPr>
      <w:r>
        <w:rPr>
          <w:rStyle w:val="VerbatimChar"/>
        </w:rPr>
        <w:t xml:space="preserve"> [1] "HABs"                                             </w:t>
      </w:r>
      <w:r>
        <w:br/>
      </w:r>
      <w:r>
        <w:rPr>
          <w:rStyle w:val="VerbatimChar"/>
        </w:rPr>
        <w:t xml:space="preserve"> [2] "CSLAP"                                            </w:t>
      </w:r>
      <w:r>
        <w:br/>
      </w:r>
      <w:r>
        <w:rPr>
          <w:rStyle w:val="VerbatimChar"/>
        </w:rPr>
        <w:t xml:space="preserve"> [3] "CSLAP - INDEX"                                    </w:t>
      </w:r>
      <w:r>
        <w:br/>
      </w:r>
      <w:r>
        <w:rPr>
          <w:rStyle w:val="VerbatimChar"/>
        </w:rPr>
        <w:t xml:space="preserve"> [4] "Lake Probability Sampling 2024-2025"              </w:t>
      </w:r>
      <w:r>
        <w:br/>
      </w:r>
      <w:r>
        <w:rPr>
          <w:rStyle w:val="VerbatimChar"/>
        </w:rPr>
        <w:t xml:space="preserve"> [5] "CSLAP - ROUTINE"                                  </w:t>
      </w:r>
      <w:r>
        <w:br/>
      </w:r>
      <w:r>
        <w:rPr>
          <w:rStyle w:val="VerbatimChar"/>
        </w:rPr>
        <w:t xml:space="preserve"> [6] "Department Interest"                              </w:t>
      </w:r>
      <w:r>
        <w:br/>
      </w:r>
      <w:r>
        <w:rPr>
          <w:rStyle w:val="VerbatimChar"/>
        </w:rPr>
        <w:t xml:space="preserve"> [7] "Finger Lakes Assessment"                          </w:t>
      </w:r>
      <w:r>
        <w:br/>
      </w:r>
      <w:r>
        <w:rPr>
          <w:rStyle w:val="VerbatimChar"/>
        </w:rPr>
        <w:t xml:space="preserve"> [8] "Lake Regional Monitoring Network"                 </w:t>
      </w:r>
      <w:r>
        <w:br/>
      </w:r>
      <w:r>
        <w:rPr>
          <w:rStyle w:val="VerbatimChar"/>
        </w:rPr>
        <w:t xml:space="preserve"> [9] "Public Water Source Assessment"                   </w:t>
      </w:r>
      <w:r>
        <w:br/>
      </w:r>
      <w:r>
        <w:rPr>
          <w:rStyle w:val="VerbatimChar"/>
        </w:rPr>
        <w:t xml:space="preserve">[10] "Lake Long Term Trend"                             </w:t>
      </w:r>
      <w:r>
        <w:br/>
      </w:r>
      <w:r>
        <w:rPr>
          <w:rStyle w:val="VerbatimChar"/>
        </w:rPr>
        <w:t xml:space="preserve">[11] "RIBS Screening - Niagara"                         </w:t>
      </w:r>
      <w:r>
        <w:br/>
      </w:r>
      <w:r>
        <w:rPr>
          <w:rStyle w:val="VerbatimChar"/>
        </w:rPr>
        <w:t xml:space="preserve">[12] "RIBS Routine"                                     </w:t>
      </w:r>
      <w:r>
        <w:br/>
      </w:r>
      <w:r>
        <w:rPr>
          <w:rStyle w:val="VerbatimChar"/>
        </w:rPr>
        <w:t xml:space="preserve">[13] "Stream Probability Sampling 2024-2025"            </w:t>
      </w:r>
      <w:r>
        <w:br/>
      </w:r>
      <w:r>
        <w:rPr>
          <w:rStyle w:val="VerbatimChar"/>
        </w:rPr>
        <w:t xml:space="preserve">[14] "Ischua Creek"                                     </w:t>
      </w:r>
      <w:r>
        <w:br/>
      </w:r>
      <w:r>
        <w:rPr>
          <w:rStyle w:val="VerbatimChar"/>
        </w:rPr>
        <w:t xml:space="preserve">[15] "RIBS Screening - Ontario"                         </w:t>
      </w:r>
      <w:r>
        <w:br/>
      </w:r>
      <w:r>
        <w:rPr>
          <w:rStyle w:val="VerbatimChar"/>
        </w:rPr>
        <w:t xml:space="preserve">[16] "RMN"                                              </w:t>
      </w:r>
      <w:r>
        <w:br/>
      </w:r>
      <w:r>
        <w:rPr>
          <w:rStyle w:val="VerbatimChar"/>
        </w:rPr>
        <w:t xml:space="preserve">[17] "DEER RIVER"                                       </w:t>
      </w:r>
      <w:r>
        <w:br/>
      </w:r>
      <w:r>
        <w:rPr>
          <w:rStyle w:val="VerbatimChar"/>
        </w:rPr>
        <w:t xml:space="preserve">[18] "RIBS Screening - Mohawk"                          </w:t>
      </w:r>
      <w:r>
        <w:br/>
      </w:r>
      <w:r>
        <w:rPr>
          <w:rStyle w:val="VerbatimChar"/>
        </w:rPr>
        <w:t>[19] "HREP Monitoring Unassessed Stream Segments (MUSS)"</w:t>
      </w:r>
      <w:r>
        <w:br/>
      </w:r>
      <w:r>
        <w:rPr>
          <w:rStyle w:val="VerbatimChar"/>
        </w:rPr>
        <w:t xml:space="preserve">[20] "Sleepy Hollow Tributary Assessment"               </w:t>
      </w:r>
      <w:r>
        <w:br/>
      </w:r>
      <w:r>
        <w:rPr>
          <w:rStyle w:val="VerbatimChar"/>
        </w:rPr>
        <w:t xml:space="preserve">[21] "Tuxedo WeWah Tributary Assessment"                </w:t>
      </w:r>
    </w:p>
    <w:p w14:paraId="797929D6" w14:textId="77777777" w:rsidR="008B66A6" w:rsidRDefault="00000000">
      <w:pPr>
        <w:pStyle w:val="Heading2"/>
      </w:pPr>
      <w:bookmarkStart w:id="1" w:name="changes-from-the-qapp"/>
      <w:r>
        <w:t>Changes from the QAPP</w:t>
      </w:r>
    </w:p>
    <w:p w14:paraId="797929D7" w14:textId="77777777" w:rsidR="008B66A6" w:rsidRDefault="00000000">
      <w:pPr>
        <w:pStyle w:val="FirstParagraph"/>
      </w:pPr>
      <w:r>
        <w:t>the first section of the DUAR asks just about overall changed to teh QAPP - so schedule, goals, collection/field procedures. Use the QAPP to guide this section.</w:t>
      </w:r>
    </w:p>
    <w:p w14:paraId="797929D8" w14:textId="77777777" w:rsidR="008B66A6" w:rsidRDefault="00000000">
      <w:pPr>
        <w:pStyle w:val="Heading2"/>
      </w:pPr>
      <w:bookmarkStart w:id="2" w:name="section-1.4.-deviations-from-the-qapp"/>
      <w:bookmarkEnd w:id="1"/>
      <w:r>
        <w:t>Section 1.4. Deviations from the QAPP</w:t>
      </w:r>
    </w:p>
    <w:p w14:paraId="797929D9" w14:textId="77777777" w:rsidR="008B66A6" w:rsidRDefault="00000000">
      <w:pPr>
        <w:pStyle w:val="FirstParagraph"/>
      </w:pPr>
      <w:r>
        <w:t>Suggested wording</w:t>
      </w:r>
    </w:p>
    <w:p w14:paraId="797929DA" w14:textId="77777777" w:rsidR="008B66A6" w:rsidRDefault="00000000">
      <w:pPr>
        <w:pStyle w:val="BodyText"/>
      </w:pPr>
      <w:r>
        <w:t xml:space="preserve">The project was implemented following the procedures described in QAPP RIBS-0001_V25. The DUAR details QAPP deviations associated with data collection, review, verification, and validation by evaluating Data Quality Indicators (DQIs) of precision, accuracy, completeness, comparability, and representativeness. Data largely met QC specifications; </w:t>
      </w:r>
      <w:r>
        <w:lastRenderedPageBreak/>
        <w:t>however, there were some deviations. Data usability is indicated for each result as: unacceptable for use, data rejected (R), acceptable for trend analysis only due to minor deviations (T), or fully acceptable for all uses (A). Specific qualifier derivation procedures are described in the QAPP and in SOP-GEN-#110. The intended use of these data is to establish a baseline informing NYSDEC Division of Water’s priorities for water quality standard development and to provide a statewide characterization of CECs. The majority of the data meet the DQO requirements stated in the QAPP and are usable for the stated project objectives. Any data quality issues, site changes, or modifications are noted within this DUAR and through DOW qualifiers associated with the data to indicate use limitations. Sample precision and accuracy were evaluated through sample matrix spike/matrix spike duplicates (MS/MSDs) and sample surrogate recoveries for applicable analytical methods (EPA Methods 1633A, 300.1, and 8270D or E SIM). Laboratory performance was evaluated by examining laboratory QC flags, case narratives, laboratory method blank (LMB) detections, and surrogate/internal standard percent recoveries when applicable. Deviations from the acceptable criteria were noted and associated environmental samples were qualified following procedures described in SOP-GEN-#110 Data Validation and Verification and the associated QAPP.</w:t>
      </w:r>
    </w:p>
    <w:p w14:paraId="797929DB" w14:textId="77777777" w:rsidR="008B66A6" w:rsidRDefault="00000000">
      <w:pPr>
        <w:pStyle w:val="Heading2"/>
      </w:pPr>
      <w:bookmarkStart w:id="3" w:name="section-2---data-review"/>
      <w:bookmarkEnd w:id="2"/>
      <w:r>
        <w:t>Section 2 - Data review</w:t>
      </w:r>
    </w:p>
    <w:p w14:paraId="797929DC" w14:textId="77777777" w:rsidR="008B66A6" w:rsidRDefault="00000000">
      <w:pPr>
        <w:pStyle w:val="FirstParagraph"/>
      </w:pPr>
      <w:r>
        <w:t>this section will get into the meat of the data validation and verification.</w:t>
      </w:r>
    </w:p>
    <w:p w14:paraId="797929DD" w14:textId="77777777" w:rsidR="008B66A6" w:rsidRDefault="00000000">
      <w:pPr>
        <w:pStyle w:val="BodyText"/>
      </w:pPr>
      <w:r>
        <w:t>Suggested wording</w:t>
      </w:r>
    </w:p>
    <w:p w14:paraId="797929DE" w14:textId="77777777" w:rsidR="008B66A6" w:rsidRDefault="00000000">
      <w:pPr>
        <w:pStyle w:val="Heading2"/>
      </w:pPr>
      <w:bookmarkStart w:id="4" w:name="X3fce7f9bd19acdf7dadafb7e10759ab609b18b7"/>
      <w:bookmarkEnd w:id="3"/>
      <w:r>
        <w:t>Section 2. ENVIRONMENTAL INFORMATION AND USABILITY DETERMINATION</w:t>
      </w:r>
    </w:p>
    <w:p w14:paraId="797929DF" w14:textId="77777777" w:rsidR="008B66A6" w:rsidRDefault="00000000">
      <w:pPr>
        <w:pStyle w:val="FirstParagraph"/>
      </w:pPr>
      <w:r>
        <w:t xml:space="preserve">All data review was conducted by the Project Lead. Data were received from the contract laboratory (ALS-Environmental Rochester) for each sampling event as a level IV data package including an EDD (EQuIS v3 or v4 format as Batch, Sample, and TestResultQC as separate txt files) and two PDFs consisting of a full and summary laboratory report for each sample delivery group (SDG). The txt files were converted to CSVs for the “Sample” and “TestResultQC” for ease of viewing. Data were extracted and saved as CSVs for one set of “Sample” and “TestQCResult” per EDD and saved in the original EDD file folder for ease of use. Upon receipt, data packages were verified by the Project Lead using site lists derived from Survey123 documentation and COCs. Data packages were reviewed by the Project Lead to ensure all expected data were received, free of errors, and met DEC reporting specifications. Data were verified for completeness, correctness, and compliance with analytical objectives set in the QAPP by the WQMA data team. Data were then validated to determine if DQOs were met for individual results, and if results were of sufficient quality to meet the project objectives. Review included evaluating Sample surrogate recovery for applicable parameters, evaluating laboratory blanks, field blanks, and equipment blank detections with sample results, reviewing lab qualifiers, and MS/MSDs. Data usability was assigned for each result as: unacceptable for use data rejected (R), acceptable for trend </w:t>
      </w:r>
      <w:r>
        <w:lastRenderedPageBreak/>
        <w:t>analysis only due to minor deviations (T), or fully acceptable for all uses (A). Specific qualifier derivation procedures are described in the QAPP and in SOP-GEN-#110.</w:t>
      </w:r>
    </w:p>
    <w:p w14:paraId="797929E0" w14:textId="77777777" w:rsidR="008B66A6" w:rsidRDefault="00000000">
      <w:pPr>
        <w:pStyle w:val="Heading2"/>
      </w:pPr>
      <w:bookmarkStart w:id="5" w:name="section-2.1-data-review"/>
      <w:bookmarkEnd w:id="4"/>
      <w:r>
        <w:t>Section 2.1 Data Review</w:t>
      </w:r>
    </w:p>
    <w:p w14:paraId="797929E1" w14:textId="77777777" w:rsidR="008B66A6" w:rsidRDefault="00000000">
      <w:pPr>
        <w:pStyle w:val="FirstParagraph"/>
      </w:pPr>
      <w:r>
        <w:t>Suggested wording</w:t>
      </w:r>
    </w:p>
    <w:p w14:paraId="797929E2" w14:textId="77777777" w:rsidR="008B66A6" w:rsidRDefault="00000000">
      <w:pPr>
        <w:pStyle w:val="BodyText"/>
      </w:pPr>
      <w:r>
        <w:t>(this section is pretty small) Checks for sample naming agreement and QC collection were confirmed for correctness and updated in the compiled data by the Project Lead.</w:t>
      </w:r>
    </w:p>
    <w:p w14:paraId="797929E3" w14:textId="77777777" w:rsidR="008B66A6" w:rsidRDefault="00000000">
      <w:pPr>
        <w:pStyle w:val="Heading2"/>
      </w:pPr>
      <w:bookmarkStart w:id="6" w:name="section-2.2-data-verification"/>
      <w:bookmarkEnd w:id="5"/>
      <w:r>
        <w:t>Section 2.2 Data Verification</w:t>
      </w:r>
    </w:p>
    <w:p w14:paraId="797929E4" w14:textId="77777777" w:rsidR="008B66A6" w:rsidRDefault="00000000">
      <w:pPr>
        <w:pStyle w:val="FirstParagraph"/>
      </w:pPr>
      <w:r>
        <w:t>Suggested wording</w:t>
      </w:r>
    </w:p>
    <w:p w14:paraId="797929E5" w14:textId="77777777" w:rsidR="008B66A6" w:rsidRDefault="00000000">
      <w:pPr>
        <w:pStyle w:val="BodyText"/>
      </w:pPr>
      <w:r>
        <w:t>Data Verification is a process in which data are checked for accuracy and inconsistencies after data are sent from the contract laboratory to NYSDEC to ensure data followed contractual requirements. The number and identity of field and QC samples were verified by comparing Survey123 records or event records with laboratory reports to calculate completeness. Any necessary modifications to sample data were noted in Table X (update) of this DUAR and associated with the data affected in the notes column of the compiled data file by the Project Lead. All field and QC samples were accounted for in the final data compilation. Completeness, correctness, and conformance/compliance of the data set were evaluated against the method, procedural, and contractual requirements. Any deviations to QC collection rates are noted in Tables X(update) and X (update). Data correctness and conformance to the QAPP was verified by examining the specifications for each parameter, reporting format, and data qualification. Analytical methods were reviewed and reporting limits examined for any major discrepancies that were not noted by laboratory qualifiers (ex. elevated reporting limit due to sample dilution). All laboratory deliverables conformed with the contracted data packages or corrections were requested by the Project Lead from ALS Rochester.</w:t>
      </w:r>
    </w:p>
    <w:p w14:paraId="797929E6" w14:textId="77777777" w:rsidR="008B66A6" w:rsidRDefault="00000000">
      <w:pPr>
        <w:pStyle w:val="Heading2"/>
      </w:pPr>
      <w:bookmarkStart w:id="7" w:name="section-2.3-data-validation"/>
      <w:bookmarkEnd w:id="6"/>
      <w:r>
        <w:t>Section 2.3 Data Validation</w:t>
      </w:r>
    </w:p>
    <w:p w14:paraId="797929E7" w14:textId="77777777" w:rsidR="008B66A6" w:rsidRDefault="00000000">
      <w:pPr>
        <w:pStyle w:val="FirstParagraph"/>
      </w:pPr>
      <w:r>
        <w:t>Suggested wording</w:t>
      </w:r>
    </w:p>
    <w:p w14:paraId="797929E8" w14:textId="77777777" w:rsidR="008B66A6" w:rsidRDefault="00000000">
      <w:pPr>
        <w:pStyle w:val="BodyText"/>
      </w:pPr>
      <w:r>
        <w:t>Data validation is an analyte- and sample-specific process that extends the evaluation of data beyond method, procedure, or contractual compliance (i.e., data verification) to determine the quality of a specific data set relative to the end use. Data were validated following procedures described in SOP-GEN-#110 Data Validation and Verification and the QAPP. Corrective actions included assigning data qualifiers to samples when DQIs were not met to indicate appropriate data usability. Any additional abnormalities, such as poor analytical performance due to matrix interference, preservation issues, or samples that required re-extraction and reanalysis, were stated in the Case Narrative, and were reflected as data qualifiers or in the “notes” column of the compiled data when applicable.</w:t>
      </w:r>
    </w:p>
    <w:p w14:paraId="797929E9" w14:textId="77777777" w:rsidR="008B66A6" w:rsidRDefault="00000000">
      <w:pPr>
        <w:pStyle w:val="Heading2"/>
      </w:pPr>
      <w:bookmarkStart w:id="8" w:name="Xb0a3790b30063d355ef5c702bef25cc8a1d05c3"/>
      <w:bookmarkEnd w:id="7"/>
      <w:r>
        <w:lastRenderedPageBreak/>
        <w:t>Section 2.4. Evaluation of Data Quality Indicators and Objectives for Analytical Data</w:t>
      </w:r>
    </w:p>
    <w:p w14:paraId="797929EA" w14:textId="77777777" w:rsidR="008B66A6" w:rsidRDefault="00000000">
      <w:pPr>
        <w:pStyle w:val="FirstParagraph"/>
      </w:pPr>
      <w:r>
        <w:t>Suggested wording</w:t>
      </w:r>
    </w:p>
    <w:p w14:paraId="797929EB" w14:textId="77777777" w:rsidR="008B66A6" w:rsidRDefault="00000000">
      <w:pPr>
        <w:pStyle w:val="BodyText"/>
      </w:pPr>
      <w:r>
        <w:t>Project Data Quality Objectives (DQOs) are from Section A7 of the QAPP referenced on Page 1. Table X(update) and Table x(update) summarize the analytical parameters collected for this project and the QC performance for each parameter against each DQO.</w:t>
      </w:r>
    </w:p>
    <w:p w14:paraId="797929EC" w14:textId="77777777" w:rsidR="008B66A6" w:rsidRDefault="00000000">
      <w:pPr>
        <w:pStyle w:val="Heading2"/>
      </w:pPr>
      <w:bookmarkStart w:id="9" w:name="summary-statement-of-dqo-qc-exceedances"/>
      <w:bookmarkEnd w:id="8"/>
      <w:r>
        <w:t>Summary Statement of DQO QC Exceedances</w:t>
      </w:r>
    </w:p>
    <w:p w14:paraId="797929ED" w14:textId="77777777" w:rsidR="008B66A6" w:rsidRDefault="00000000">
      <w:pPr>
        <w:pStyle w:val="FirstParagraph"/>
      </w:pPr>
      <w:r>
        <w:t>Completeness - this uses the # of dry sites to evaluate the success of the completeness metric</w:t>
      </w:r>
    </w:p>
    <w:tbl>
      <w:tblPr>
        <w:tblStyle w:val="Table"/>
        <w:tblW w:w="0" w:type="auto"/>
        <w:jc w:val="center"/>
        <w:tblLayout w:type="fixed"/>
        <w:tblLook w:val="0420" w:firstRow="1" w:lastRow="0" w:firstColumn="0" w:lastColumn="0" w:noHBand="0" w:noVBand="1"/>
      </w:tblPr>
      <w:tblGrid>
        <w:gridCol w:w="4068"/>
        <w:gridCol w:w="655"/>
        <w:gridCol w:w="826"/>
        <w:gridCol w:w="790"/>
      </w:tblGrid>
      <w:tr w:rsidR="008B66A6" w14:paraId="797929F2" w14:textId="77777777" w:rsidTr="008B66A6">
        <w:trPr>
          <w:cnfStyle w:val="100000000000" w:firstRow="1" w:lastRow="0" w:firstColumn="0" w:lastColumn="0" w:oddVBand="0" w:evenVBand="0" w:oddHBand="0" w:evenHBand="0" w:firstRowFirstColumn="0" w:firstRowLastColumn="0" w:lastRowFirstColumn="0" w:lastRowLastColumn="0"/>
          <w:tblHeader/>
          <w:jc w:val="center"/>
        </w:trPr>
        <w:tc>
          <w:tcPr>
            <w:tcW w:w="40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E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PROJECT</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E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n</w:t>
            </w:r>
          </w:p>
        </w:tc>
        <w:tc>
          <w:tcPr>
            <w:tcW w:w="8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F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w:t>
            </w:r>
          </w:p>
        </w:tc>
        <w:tc>
          <w:tcPr>
            <w:tcW w:w="7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F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freq</w:t>
            </w:r>
          </w:p>
        </w:tc>
      </w:tr>
      <w:tr w:rsidR="008B66A6" w14:paraId="797929F7" w14:textId="77777777" w:rsidTr="008B66A6">
        <w:trPr>
          <w:jc w:val="center"/>
        </w:trPr>
        <w:tc>
          <w:tcPr>
            <w:tcW w:w="40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F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F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43</w:t>
            </w:r>
          </w:p>
        </w:tc>
        <w:tc>
          <w:tcPr>
            <w:tcW w:w="8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F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43</w:t>
            </w:r>
          </w:p>
        </w:tc>
        <w:tc>
          <w:tcPr>
            <w:tcW w:w="79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F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r>
    </w:tbl>
    <w:p w14:paraId="797929F8" w14:textId="77777777" w:rsidR="008B66A6" w:rsidRDefault="00000000">
      <w:pPr>
        <w:pStyle w:val="BodyText"/>
      </w:pPr>
      <w:r>
        <w:t>this table summarizes all the flags or DQI’s identified in the QAPP</w:t>
      </w:r>
    </w:p>
    <w:tbl>
      <w:tblPr>
        <w:tblStyle w:val="Table"/>
        <w:tblW w:w="0" w:type="auto"/>
        <w:jc w:val="center"/>
        <w:tblLayout w:type="fixed"/>
        <w:tblLook w:val="0420" w:firstRow="1" w:lastRow="0" w:firstColumn="0" w:lastColumn="0" w:noHBand="0" w:noVBand="1"/>
      </w:tblPr>
      <w:tblGrid>
        <w:gridCol w:w="2967"/>
        <w:gridCol w:w="1830"/>
        <w:gridCol w:w="655"/>
        <w:gridCol w:w="655"/>
        <w:gridCol w:w="655"/>
        <w:gridCol w:w="826"/>
      </w:tblGrid>
      <w:tr w:rsidR="008B66A6" w14:paraId="797929FF" w14:textId="77777777" w:rsidTr="008B66A6">
        <w:trPr>
          <w:cnfStyle w:val="100000000000" w:firstRow="1" w:lastRow="0" w:firstColumn="0" w:lastColumn="0" w:oddVBand="0" w:evenVBand="0" w:oddHBand="0" w:evenHBand="0" w:firstRowFirstColumn="0" w:firstRowLastColumn="0" w:lastRowFirstColumn="0" w:lastRowLastColumn="0"/>
          <w:tblHeader/>
          <w:jc w:val="center"/>
        </w:trPr>
        <w:tc>
          <w:tcPr>
            <w:tcW w:w="29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F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8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F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F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A</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F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w:t>
            </w:r>
          </w:p>
        </w:tc>
        <w:tc>
          <w:tcPr>
            <w:tcW w:w="6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F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R</w:t>
            </w:r>
          </w:p>
        </w:tc>
        <w:tc>
          <w:tcPr>
            <w:tcW w:w="82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9F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w:t>
            </w:r>
          </w:p>
        </w:tc>
      </w:tr>
      <w:tr w:rsidR="008B66A6" w14:paraId="79792A06" w14:textId="77777777" w:rsidTr="008B66A6">
        <w:trPr>
          <w:jc w:val="center"/>
        </w:trPr>
        <w:tc>
          <w:tcPr>
            <w:tcW w:w="29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alkalinity</w:t>
            </w:r>
          </w:p>
        </w:tc>
        <w:tc>
          <w:tcPr>
            <w:tcW w:w="183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3"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4"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0D"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B"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67</w:t>
            </w:r>
          </w:p>
        </w:tc>
      </w:tr>
      <w:tr w:rsidR="008B66A6" w14:paraId="79792A14"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aluminum</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0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1"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2"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8B66A6" w14:paraId="79792A1B"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22"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arsenic</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69</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1F"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0"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69</w:t>
            </w:r>
          </w:p>
        </w:tc>
      </w:tr>
      <w:tr w:rsidR="008B66A6" w14:paraId="79792A29"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arsenic</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6"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7"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r>
      <w:tr w:rsidR="008B66A6" w14:paraId="79792A30"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calcium</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D"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E"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2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37"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chloride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4"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5"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3E"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chlorophyll-a</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C"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42</w:t>
            </w:r>
          </w:p>
        </w:tc>
      </w:tr>
      <w:tr w:rsidR="008B66A6" w14:paraId="79792A45"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3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2"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69</w:t>
            </w:r>
          </w:p>
        </w:tc>
      </w:tr>
      <w:tr w:rsidR="008B66A6" w14:paraId="79792A4C"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9"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A"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r>
      <w:tr w:rsidR="008B66A6" w14:paraId="79792A53"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dissolved_organic_carbon</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4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0"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1"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5A"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hardness</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7"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8"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61"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iron</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E"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5F"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68"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kjeldahl_nitrogen</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6F"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magnesium</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C"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D"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6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76"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manganese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3"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4"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7D"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nickel</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69</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A"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B"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69</w:t>
            </w:r>
          </w:p>
        </w:tc>
      </w:tr>
      <w:tr w:rsidR="008B66A6" w14:paraId="79792A84"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nickel</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7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1"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2"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31</w:t>
            </w:r>
          </w:p>
        </w:tc>
      </w:tr>
      <w:tr w:rsidR="008B66A6" w14:paraId="79792A8B"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9"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92"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nitrate_nitrite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67</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8F"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99"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A0"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64</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9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A7"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ph_for_color_analysis</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not_applicable</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18</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4"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23</w:t>
            </w:r>
          </w:p>
        </w:tc>
      </w:tr>
      <w:tr w:rsidR="008B66A6" w14:paraId="79792AAE"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phosphorus</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B"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C"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B5"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A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phosphorus</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69</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2"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BC"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65</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9"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67</w:t>
            </w:r>
          </w:p>
        </w:tc>
      </w:tr>
      <w:tr w:rsidR="008B66A6" w14:paraId="79792AC3"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B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0"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1"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8B66A6" w14:paraId="79792ACA"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sodium</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7"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D1"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sulfate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E"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CF"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D8"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total_dissolved_solids</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5"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6"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70</w:t>
            </w:r>
          </w:p>
        </w:tc>
      </w:tr>
      <w:tr w:rsidR="008B66A6" w14:paraId="79792ADF"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total_organic_carbon</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69</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C"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D"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D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69</w:t>
            </w:r>
          </w:p>
        </w:tc>
      </w:tr>
      <w:tr w:rsidR="008B66A6" w14:paraId="79792AE6"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true_color</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67</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4"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72</w:t>
            </w:r>
          </w:p>
        </w:tc>
      </w:tr>
      <w:tr w:rsidR="008B66A6" w14:paraId="79792AED"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uv_254</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A"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B"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27</w:t>
            </w:r>
          </w:p>
        </w:tc>
      </w:tr>
      <w:tr w:rsidR="008B66A6" w14:paraId="79792AF4" w14:textId="77777777" w:rsidTr="008B66A6">
        <w:trPr>
          <w:jc w:val="center"/>
        </w:trPr>
        <w:tc>
          <w:tcPr>
            <w:tcW w:w="29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E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F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60</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F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65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F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c>
          <w:tcPr>
            <w:tcW w:w="82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AF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67</w:t>
            </w:r>
          </w:p>
        </w:tc>
      </w:tr>
      <w:tr w:rsidR="008B66A6" w14:paraId="79792AFB" w14:textId="77777777" w:rsidTr="008B66A6">
        <w:trPr>
          <w:jc w:val="center"/>
        </w:trPr>
        <w:tc>
          <w:tcPr>
            <w:tcW w:w="29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AF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83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AF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AF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AF8"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6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AF9"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82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AF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bl>
    <w:p w14:paraId="79792AFC" w14:textId="77777777" w:rsidR="008B66A6" w:rsidRDefault="00000000">
      <w:pPr>
        <w:pStyle w:val="Heading1"/>
      </w:pPr>
      <w:bookmarkStart w:id="10" w:name="rejected-samples---dqis"/>
      <w:bookmarkEnd w:id="0"/>
      <w:bookmarkEnd w:id="9"/>
      <w:r>
        <w:t>rejected samples - DQI’s</w:t>
      </w:r>
    </w:p>
    <w:p w14:paraId="79792AFD" w14:textId="77777777" w:rsidR="008B66A6" w:rsidRDefault="00000000">
      <w:pPr>
        <w:pStyle w:val="FirstParagraph"/>
      </w:pPr>
      <w:r>
        <w:t>this summarizes the rejected values for each project by parameter.</w:t>
      </w:r>
    </w:p>
    <w:tbl>
      <w:tblPr>
        <w:tblStyle w:val="Table"/>
        <w:tblW w:w="0" w:type="auto"/>
        <w:jc w:val="center"/>
        <w:tblLayout w:type="fixed"/>
        <w:tblLook w:val="0420" w:firstRow="1" w:lastRow="0" w:firstColumn="0" w:lastColumn="0" w:noHBand="0" w:noVBand="1"/>
      </w:tblPr>
      <w:tblGrid>
        <w:gridCol w:w="2551"/>
        <w:gridCol w:w="1830"/>
        <w:gridCol w:w="2196"/>
        <w:gridCol w:w="1230"/>
        <w:gridCol w:w="1658"/>
        <w:gridCol w:w="2673"/>
      </w:tblGrid>
      <w:tr w:rsidR="008B66A6" w14:paraId="79792B04" w14:textId="77777777" w:rsidTr="008B66A6">
        <w:trPr>
          <w:cnfStyle w:val="100000000000" w:firstRow="1" w:lastRow="0" w:firstColumn="0" w:lastColumn="0" w:oddVBand="0" w:evenVBand="0" w:oddHBand="0" w:evenHBand="0" w:firstRowFirstColumn="0" w:firstRowLastColumn="0" w:lastRowFirstColumn="0" w:lastRowLastColumn="0"/>
          <w:tblHeader/>
          <w:jc w:val="center"/>
        </w:trPr>
        <w:tc>
          <w:tcPr>
            <w:tcW w:w="25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AF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8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AF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21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0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equipment_blanks</w:t>
            </w:r>
          </w:p>
        </w:tc>
        <w:tc>
          <w:tcPr>
            <w:tcW w:w="12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0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MSMSD</w:t>
            </w:r>
          </w:p>
        </w:tc>
        <w:tc>
          <w:tcPr>
            <w:tcW w:w="165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0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holding_time</w:t>
            </w:r>
          </w:p>
        </w:tc>
        <w:tc>
          <w:tcPr>
            <w:tcW w:w="267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0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total_rejected_samples</w:t>
            </w:r>
          </w:p>
        </w:tc>
      </w:tr>
      <w:tr w:rsidR="008B66A6" w14:paraId="79792B0B" w14:textId="77777777" w:rsidTr="008B66A6">
        <w:trPr>
          <w:jc w:val="center"/>
        </w:trPr>
        <w:tc>
          <w:tcPr>
            <w:tcW w:w="255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0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ammonia</w:t>
            </w:r>
          </w:p>
        </w:tc>
        <w:tc>
          <w:tcPr>
            <w:tcW w:w="183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0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219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0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D700"/>
              </w:rPr>
            </w:pPr>
            <w:r>
              <w:rPr>
                <w:rFonts w:ascii="Arial" w:eastAsia="Arial" w:hAnsi="Arial" w:cs="Arial"/>
                <w:color w:val="000000"/>
                <w:sz w:val="22"/>
                <w:szCs w:val="22"/>
                <w:shd w:val="clear" w:color="auto" w:fill="FFD700"/>
              </w:rPr>
              <w:t>2</w:t>
            </w:r>
          </w:p>
        </w:tc>
        <w:tc>
          <w:tcPr>
            <w:tcW w:w="123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0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D700"/>
              </w:rPr>
            </w:pPr>
            <w:r>
              <w:rPr>
                <w:rFonts w:ascii="Arial" w:eastAsia="Arial" w:hAnsi="Arial" w:cs="Arial"/>
                <w:color w:val="000000"/>
                <w:sz w:val="22"/>
                <w:szCs w:val="22"/>
                <w:shd w:val="clear" w:color="auto" w:fill="FFD700"/>
              </w:rPr>
              <w:t>1</w:t>
            </w:r>
          </w:p>
        </w:tc>
        <w:tc>
          <w:tcPr>
            <w:tcW w:w="165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0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267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0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3</w:t>
            </w:r>
          </w:p>
        </w:tc>
      </w:tr>
      <w:tr w:rsidR="008B66A6" w14:paraId="79792B12" w14:textId="77777777" w:rsidTr="008B66A6">
        <w:trPr>
          <w:jc w:val="center"/>
        </w:trPr>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0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0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0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D700"/>
              </w:rPr>
            </w:pPr>
            <w:r>
              <w:rPr>
                <w:rFonts w:ascii="Arial" w:eastAsia="Arial" w:hAnsi="Arial" w:cs="Arial"/>
                <w:color w:val="000000"/>
                <w:sz w:val="22"/>
                <w:szCs w:val="22"/>
                <w:shd w:val="clear" w:color="auto" w:fill="FFD700"/>
              </w:rPr>
              <w:t>2</w:t>
            </w:r>
          </w:p>
        </w:tc>
        <w:tc>
          <w:tcPr>
            <w:tcW w:w="12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0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5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26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2</w:t>
            </w:r>
          </w:p>
        </w:tc>
      </w:tr>
      <w:tr w:rsidR="008B66A6" w14:paraId="79792B19" w14:textId="77777777" w:rsidTr="008B66A6">
        <w:trPr>
          <w:jc w:val="center"/>
        </w:trPr>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D700"/>
              </w:rPr>
            </w:pPr>
            <w:r>
              <w:rPr>
                <w:rFonts w:ascii="Arial" w:eastAsia="Arial" w:hAnsi="Arial" w:cs="Arial"/>
                <w:color w:val="000000"/>
                <w:sz w:val="22"/>
                <w:szCs w:val="22"/>
                <w:shd w:val="clear" w:color="auto" w:fill="FFD700"/>
              </w:rPr>
              <w:t>3</w:t>
            </w:r>
          </w:p>
        </w:tc>
        <w:tc>
          <w:tcPr>
            <w:tcW w:w="12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5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26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3</w:t>
            </w:r>
          </w:p>
        </w:tc>
      </w:tr>
      <w:tr w:rsidR="008B66A6" w14:paraId="79792B20" w14:textId="77777777" w:rsidTr="008B66A6">
        <w:trPr>
          <w:jc w:val="center"/>
        </w:trPr>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nitrate_nitrite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D700"/>
              </w:rPr>
            </w:pPr>
            <w:r>
              <w:rPr>
                <w:rFonts w:ascii="Arial" w:eastAsia="Arial" w:hAnsi="Arial" w:cs="Arial"/>
                <w:color w:val="000000"/>
                <w:sz w:val="22"/>
                <w:szCs w:val="22"/>
                <w:shd w:val="clear" w:color="auto" w:fill="FFD700"/>
              </w:rPr>
              <w:t>3</w:t>
            </w:r>
          </w:p>
        </w:tc>
        <w:tc>
          <w:tcPr>
            <w:tcW w:w="12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D700"/>
              </w:rPr>
            </w:pPr>
            <w:r>
              <w:rPr>
                <w:rFonts w:ascii="Arial" w:eastAsia="Arial" w:hAnsi="Arial" w:cs="Arial"/>
                <w:color w:val="000000"/>
                <w:sz w:val="22"/>
                <w:szCs w:val="22"/>
                <w:shd w:val="clear" w:color="auto" w:fill="FFD700"/>
              </w:rPr>
              <w:t>1</w:t>
            </w:r>
          </w:p>
        </w:tc>
        <w:tc>
          <w:tcPr>
            <w:tcW w:w="165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26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1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4</w:t>
            </w:r>
          </w:p>
        </w:tc>
      </w:tr>
      <w:tr w:rsidR="008B66A6" w14:paraId="79792B27" w14:textId="77777777" w:rsidTr="008B66A6">
        <w:trPr>
          <w:jc w:val="center"/>
        </w:trPr>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2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5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D700"/>
              </w:rPr>
            </w:pPr>
            <w:r>
              <w:rPr>
                <w:rFonts w:ascii="Arial" w:eastAsia="Arial" w:hAnsi="Arial" w:cs="Arial"/>
                <w:color w:val="000000"/>
                <w:sz w:val="22"/>
                <w:szCs w:val="22"/>
                <w:shd w:val="clear" w:color="auto" w:fill="FFD700"/>
              </w:rPr>
              <w:t>5</w:t>
            </w:r>
          </w:p>
        </w:tc>
        <w:tc>
          <w:tcPr>
            <w:tcW w:w="26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5</w:t>
            </w:r>
          </w:p>
        </w:tc>
      </w:tr>
      <w:tr w:rsidR="008B66A6" w14:paraId="79792B2E" w14:textId="77777777" w:rsidTr="008B66A6">
        <w:trPr>
          <w:jc w:val="center"/>
        </w:trPr>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D700"/>
              </w:rPr>
            </w:pPr>
            <w:r>
              <w:rPr>
                <w:rFonts w:ascii="Arial" w:eastAsia="Arial" w:hAnsi="Arial" w:cs="Arial"/>
                <w:color w:val="000000"/>
                <w:sz w:val="22"/>
                <w:szCs w:val="22"/>
                <w:shd w:val="clear" w:color="auto" w:fill="FFD700"/>
              </w:rPr>
              <w:t>2</w:t>
            </w:r>
          </w:p>
        </w:tc>
        <w:tc>
          <w:tcPr>
            <w:tcW w:w="12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5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26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2</w:t>
            </w:r>
          </w:p>
        </w:tc>
      </w:tr>
      <w:tr w:rsidR="008B66A6" w14:paraId="79792B35" w14:textId="77777777" w:rsidTr="008B66A6">
        <w:trPr>
          <w:jc w:val="center"/>
        </w:trPr>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2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 of color analysis</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D700"/>
              </w:rPr>
            </w:pPr>
            <w:r>
              <w:rPr>
                <w:rFonts w:ascii="Arial" w:eastAsia="Arial" w:hAnsi="Arial" w:cs="Arial"/>
                <w:color w:val="000000"/>
                <w:sz w:val="22"/>
                <w:szCs w:val="22"/>
                <w:shd w:val="clear" w:color="auto" w:fill="FFD700"/>
              </w:rPr>
              <w:t>2</w:t>
            </w:r>
          </w:p>
        </w:tc>
        <w:tc>
          <w:tcPr>
            <w:tcW w:w="12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5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26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2</w:t>
            </w:r>
          </w:p>
        </w:tc>
      </w:tr>
      <w:tr w:rsidR="008B66A6" w14:paraId="79792B3C" w14:textId="77777777" w:rsidTr="008B66A6">
        <w:trPr>
          <w:jc w:val="center"/>
        </w:trPr>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ph_for_color_analysis</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not_applicable</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D700"/>
              </w:rPr>
            </w:pPr>
            <w:r>
              <w:rPr>
                <w:rFonts w:ascii="Arial" w:eastAsia="Arial" w:hAnsi="Arial" w:cs="Arial"/>
                <w:color w:val="000000"/>
                <w:sz w:val="22"/>
                <w:szCs w:val="22"/>
                <w:shd w:val="clear" w:color="auto" w:fill="FFD700"/>
              </w:rPr>
              <w:t>2</w:t>
            </w:r>
          </w:p>
        </w:tc>
        <w:tc>
          <w:tcPr>
            <w:tcW w:w="12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5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26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2</w:t>
            </w:r>
          </w:p>
        </w:tc>
      </w:tr>
      <w:tr w:rsidR="008B66A6" w14:paraId="79792B43" w14:textId="77777777" w:rsidTr="008B66A6">
        <w:trPr>
          <w:jc w:val="center"/>
        </w:trPr>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phosphorus</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3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D700"/>
              </w:rPr>
            </w:pPr>
            <w:r>
              <w:rPr>
                <w:rFonts w:ascii="Arial" w:eastAsia="Arial" w:hAnsi="Arial" w:cs="Arial"/>
                <w:color w:val="000000"/>
                <w:sz w:val="22"/>
                <w:szCs w:val="22"/>
                <w:shd w:val="clear" w:color="auto" w:fill="FFD700"/>
              </w:rPr>
              <w:t>2</w:t>
            </w:r>
          </w:p>
        </w:tc>
        <w:tc>
          <w:tcPr>
            <w:tcW w:w="12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5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26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2</w:t>
            </w:r>
          </w:p>
        </w:tc>
      </w:tr>
      <w:tr w:rsidR="008B66A6" w14:paraId="79792B4A" w14:textId="77777777" w:rsidTr="008B66A6">
        <w:trPr>
          <w:jc w:val="center"/>
        </w:trPr>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2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5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26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r>
      <w:tr w:rsidR="008B66A6" w14:paraId="79792B51" w14:textId="77777777" w:rsidTr="008B66A6">
        <w:trPr>
          <w:jc w:val="center"/>
        </w:trPr>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sodium</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2196"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2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5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4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267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5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r>
      <w:tr w:rsidR="008B66A6" w14:paraId="79792B58" w14:textId="77777777" w:rsidTr="008B66A6">
        <w:trPr>
          <w:jc w:val="center"/>
        </w:trPr>
        <w:tc>
          <w:tcPr>
            <w:tcW w:w="255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5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83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5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219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5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D700"/>
              </w:rPr>
            </w:pPr>
            <w:r>
              <w:rPr>
                <w:rFonts w:ascii="Arial" w:eastAsia="Arial" w:hAnsi="Arial" w:cs="Arial"/>
                <w:color w:val="000000"/>
                <w:sz w:val="22"/>
                <w:szCs w:val="22"/>
                <w:shd w:val="clear" w:color="auto" w:fill="FFD700"/>
              </w:rPr>
              <w:t>5</w:t>
            </w:r>
          </w:p>
        </w:tc>
        <w:tc>
          <w:tcPr>
            <w:tcW w:w="123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5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165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5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267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5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5</w:t>
            </w:r>
          </w:p>
        </w:tc>
      </w:tr>
    </w:tbl>
    <w:p w14:paraId="79792B59" w14:textId="77777777" w:rsidR="008B66A6" w:rsidRDefault="00000000">
      <w:pPr>
        <w:pStyle w:val="BodyText"/>
      </w:pPr>
      <w:r>
        <w:t>this table summarizes the overall failure rate associated with each type of qa sample</w:t>
      </w:r>
    </w:p>
    <w:tbl>
      <w:tblPr>
        <w:tblStyle w:val="Table"/>
        <w:tblW w:w="5000" w:type="pct"/>
        <w:jc w:val="center"/>
        <w:tblLook w:val="0420" w:firstRow="1" w:lastRow="0" w:firstColumn="0" w:lastColumn="0" w:noHBand="0" w:noVBand="1"/>
      </w:tblPr>
      <w:tblGrid>
        <w:gridCol w:w="1873"/>
        <w:gridCol w:w="1283"/>
        <w:gridCol w:w="1079"/>
        <w:gridCol w:w="1486"/>
        <w:gridCol w:w="1960"/>
        <w:gridCol w:w="1679"/>
      </w:tblGrid>
      <w:tr w:rsidR="008B66A6" w14:paraId="79792B60" w14:textId="77777777" w:rsidTr="00404654">
        <w:trPr>
          <w:cnfStyle w:val="100000000000" w:firstRow="1" w:lastRow="0" w:firstColumn="0" w:lastColumn="0" w:oddVBand="0" w:evenVBand="0" w:oddHBand="0" w:evenHBand="0" w:firstRowFirstColumn="0" w:firstRowLastColumn="0" w:lastRowFirstColumn="0" w:lastRowLastColumn="0"/>
          <w:tblHeader/>
          <w:jc w:val="center"/>
        </w:trPr>
        <w:tc>
          <w:tcPr>
            <w:tcW w:w="101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5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73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5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59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5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eb_failures</w:t>
            </w:r>
          </w:p>
        </w:tc>
        <w:tc>
          <w:tcPr>
            <w:tcW w:w="77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5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msmsd_failures</w:t>
            </w:r>
          </w:p>
        </w:tc>
        <w:tc>
          <w:tcPr>
            <w:tcW w:w="995"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5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holding_time_failures</w:t>
            </w:r>
          </w:p>
        </w:tc>
        <w:tc>
          <w:tcPr>
            <w:tcW w:w="88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5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Pr>
                <w:rFonts w:ascii="Arial" w:eastAsia="Arial" w:hAnsi="Arial" w:cs="Arial"/>
                <w:b/>
                <w:color w:val="000000"/>
                <w:sz w:val="22"/>
                <w:szCs w:val="22"/>
              </w:rPr>
              <w:t>total_QA_samples</w:t>
            </w:r>
          </w:p>
        </w:tc>
      </w:tr>
      <w:tr w:rsidR="008B66A6" w14:paraId="79792B67" w14:textId="77777777" w:rsidTr="00404654">
        <w:trPr>
          <w:jc w:val="center"/>
        </w:trPr>
        <w:tc>
          <w:tcPr>
            <w:tcW w:w="1019"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731"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594"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50.00</w:t>
            </w:r>
          </w:p>
        </w:tc>
        <w:tc>
          <w:tcPr>
            <w:tcW w:w="779"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w:t>
            </w:r>
          </w:p>
        </w:tc>
        <w:tc>
          <w:tcPr>
            <w:tcW w:w="995"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82" w:type="pc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r>
      <w:tr w:rsidR="008B66A6" w14:paraId="79792B6E" w14:textId="77777777" w:rsidTr="00404654">
        <w:trPr>
          <w:jc w:val="center"/>
        </w:trPr>
        <w:tc>
          <w:tcPr>
            <w:tcW w:w="10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59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28.57</w:t>
            </w:r>
          </w:p>
        </w:tc>
        <w:tc>
          <w:tcPr>
            <w:tcW w:w="77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9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8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w:t>
            </w:r>
          </w:p>
        </w:tc>
      </w:tr>
      <w:tr w:rsidR="008B66A6" w14:paraId="79792B75" w14:textId="77777777" w:rsidTr="00404654">
        <w:trPr>
          <w:jc w:val="center"/>
        </w:trPr>
        <w:tc>
          <w:tcPr>
            <w:tcW w:w="10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6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59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60.00</w:t>
            </w:r>
          </w:p>
        </w:tc>
        <w:tc>
          <w:tcPr>
            <w:tcW w:w="77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9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8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r>
      <w:tr w:rsidR="008B66A6" w14:paraId="79792B7C" w14:textId="77777777" w:rsidTr="00404654">
        <w:trPr>
          <w:jc w:val="center"/>
        </w:trPr>
        <w:tc>
          <w:tcPr>
            <w:tcW w:w="10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nitrate_nitrite</w:t>
            </w:r>
          </w:p>
        </w:tc>
        <w:tc>
          <w:tcPr>
            <w:tcW w:w="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59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60.00</w:t>
            </w:r>
          </w:p>
        </w:tc>
        <w:tc>
          <w:tcPr>
            <w:tcW w:w="77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25</w:t>
            </w:r>
          </w:p>
        </w:tc>
        <w:tc>
          <w:tcPr>
            <w:tcW w:w="9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8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w:t>
            </w:r>
          </w:p>
        </w:tc>
      </w:tr>
      <w:tr w:rsidR="008B66A6" w14:paraId="79792B83" w14:textId="77777777" w:rsidTr="00404654">
        <w:trPr>
          <w:jc w:val="center"/>
        </w:trPr>
        <w:tc>
          <w:tcPr>
            <w:tcW w:w="10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59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7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77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9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55.56</w:t>
            </w:r>
          </w:p>
        </w:tc>
        <w:tc>
          <w:tcPr>
            <w:tcW w:w="88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11</w:t>
            </w:r>
          </w:p>
        </w:tc>
      </w:tr>
      <w:tr w:rsidR="008B66A6" w14:paraId="79792B8A" w14:textId="77777777" w:rsidTr="00404654">
        <w:trPr>
          <w:jc w:val="center"/>
        </w:trPr>
        <w:tc>
          <w:tcPr>
            <w:tcW w:w="10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59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66.67</w:t>
            </w:r>
          </w:p>
        </w:tc>
        <w:tc>
          <w:tcPr>
            <w:tcW w:w="77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7"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9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8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6</w:t>
            </w:r>
          </w:p>
        </w:tc>
      </w:tr>
      <w:tr w:rsidR="008B66A6" w14:paraId="79792B91" w14:textId="77777777" w:rsidTr="00404654">
        <w:trPr>
          <w:jc w:val="center"/>
        </w:trPr>
        <w:tc>
          <w:tcPr>
            <w:tcW w:w="10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 of color analysis</w:t>
            </w:r>
          </w:p>
        </w:tc>
        <w:tc>
          <w:tcPr>
            <w:tcW w:w="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59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100.00</w:t>
            </w:r>
          </w:p>
        </w:tc>
        <w:tc>
          <w:tcPr>
            <w:tcW w:w="77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E"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9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8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8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8B66A6" w14:paraId="79792B98" w14:textId="77777777" w:rsidTr="00404654">
        <w:trPr>
          <w:jc w:val="center"/>
        </w:trPr>
        <w:tc>
          <w:tcPr>
            <w:tcW w:w="10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ph_for_color_analysis</w:t>
            </w:r>
          </w:p>
        </w:tc>
        <w:tc>
          <w:tcPr>
            <w:tcW w:w="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not_applicable</w:t>
            </w:r>
          </w:p>
        </w:tc>
        <w:tc>
          <w:tcPr>
            <w:tcW w:w="59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100.00</w:t>
            </w:r>
          </w:p>
        </w:tc>
        <w:tc>
          <w:tcPr>
            <w:tcW w:w="77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5" w14:textId="77777777" w:rsidR="008B66A6" w:rsidRDefault="008B66A6">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p>
        </w:tc>
        <w:tc>
          <w:tcPr>
            <w:tcW w:w="9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6"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8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w:t>
            </w:r>
          </w:p>
        </w:tc>
      </w:tr>
      <w:tr w:rsidR="008B66A6" w14:paraId="79792B9F" w14:textId="77777777" w:rsidTr="00404654">
        <w:trPr>
          <w:jc w:val="center"/>
        </w:trPr>
        <w:tc>
          <w:tcPr>
            <w:tcW w:w="10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phosphorus</w:t>
            </w:r>
          </w:p>
        </w:tc>
        <w:tc>
          <w:tcPr>
            <w:tcW w:w="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59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40.00</w:t>
            </w:r>
          </w:p>
        </w:tc>
        <w:tc>
          <w:tcPr>
            <w:tcW w:w="77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9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8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9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13</w:t>
            </w:r>
          </w:p>
        </w:tc>
      </w:tr>
      <w:tr w:rsidR="008B66A6" w14:paraId="79792BA6" w14:textId="77777777" w:rsidTr="00404654">
        <w:trPr>
          <w:jc w:val="center"/>
        </w:trPr>
        <w:tc>
          <w:tcPr>
            <w:tcW w:w="10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A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A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59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A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77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A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9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A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8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A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12</w:t>
            </w:r>
          </w:p>
        </w:tc>
      </w:tr>
      <w:tr w:rsidR="008B66A6" w14:paraId="79792BAD" w14:textId="77777777" w:rsidTr="00404654">
        <w:trPr>
          <w:jc w:val="center"/>
        </w:trPr>
        <w:tc>
          <w:tcPr>
            <w:tcW w:w="101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A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sodium</w:t>
            </w:r>
          </w:p>
        </w:tc>
        <w:tc>
          <w:tcPr>
            <w:tcW w:w="731"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A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594"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A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779"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A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995"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A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82" w:type="pct"/>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A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9</w:t>
            </w:r>
          </w:p>
        </w:tc>
      </w:tr>
      <w:tr w:rsidR="008B66A6" w14:paraId="79792BB4" w14:textId="77777777" w:rsidTr="00404654">
        <w:trPr>
          <w:jc w:val="center"/>
        </w:trPr>
        <w:tc>
          <w:tcPr>
            <w:tcW w:w="101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AE"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731"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A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594"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B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55.56</w:t>
            </w:r>
          </w:p>
        </w:tc>
        <w:tc>
          <w:tcPr>
            <w:tcW w:w="779"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B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w:t>
            </w:r>
          </w:p>
        </w:tc>
        <w:tc>
          <w:tcPr>
            <w:tcW w:w="995"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B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0.00</w:t>
            </w:r>
          </w:p>
        </w:tc>
        <w:tc>
          <w:tcPr>
            <w:tcW w:w="882" w:type="pc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B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19</w:t>
            </w:r>
          </w:p>
        </w:tc>
      </w:tr>
    </w:tbl>
    <w:p w14:paraId="79792BB5" w14:textId="77777777" w:rsidR="008B66A6" w:rsidRDefault="00000000">
      <w:pPr>
        <w:pStyle w:val="Heading1"/>
      </w:pPr>
      <w:bookmarkStart w:id="11" w:name="results-site-specific-rejected-values"/>
      <w:bookmarkEnd w:id="10"/>
      <w:r>
        <w:t>Results Site specific rejected values</w:t>
      </w:r>
    </w:p>
    <w:p w14:paraId="79792BB6" w14:textId="77777777" w:rsidR="008B66A6" w:rsidRDefault="00000000">
      <w:pPr>
        <w:pStyle w:val="FirstParagraph"/>
      </w:pPr>
      <w:r>
        <w:t>these are all of hte rejected samples including site code - not sure if we want to include these</w:t>
      </w:r>
    </w:p>
    <w:tbl>
      <w:tblPr>
        <w:tblStyle w:val="Table"/>
        <w:tblW w:w="0" w:type="auto"/>
        <w:jc w:val="center"/>
        <w:tblLayout w:type="fixed"/>
        <w:tblLook w:val="0420" w:firstRow="1" w:lastRow="0" w:firstColumn="0" w:lastColumn="0" w:noHBand="0" w:noVBand="1"/>
      </w:tblPr>
      <w:tblGrid>
        <w:gridCol w:w="4068"/>
        <w:gridCol w:w="2453"/>
        <w:gridCol w:w="2551"/>
        <w:gridCol w:w="1830"/>
        <w:gridCol w:w="1218"/>
        <w:gridCol w:w="2562"/>
        <w:gridCol w:w="4905"/>
      </w:tblGrid>
      <w:tr w:rsidR="008B66A6" w14:paraId="79792BBE" w14:textId="77777777" w:rsidTr="008B66A6">
        <w:trPr>
          <w:cnfStyle w:val="100000000000" w:firstRow="1" w:lastRow="0" w:firstColumn="0" w:lastColumn="0" w:oddVBand="0" w:evenVBand="0" w:oddHBand="0" w:evenHBand="0" w:firstRowFirstColumn="0" w:firstRowLastColumn="0" w:lastRowFirstColumn="0" w:lastRowLastColumn="0"/>
          <w:tblHeader/>
          <w:jc w:val="center"/>
        </w:trPr>
        <w:tc>
          <w:tcPr>
            <w:tcW w:w="40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B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PROJECT</w:t>
            </w:r>
          </w:p>
        </w:tc>
        <w:tc>
          <w:tcPr>
            <w:tcW w:w="245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B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SITE_CODE</w:t>
            </w:r>
          </w:p>
        </w:tc>
        <w:tc>
          <w:tcPr>
            <w:tcW w:w="255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B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PARAMETER_NAME</w:t>
            </w:r>
          </w:p>
        </w:tc>
        <w:tc>
          <w:tcPr>
            <w:tcW w:w="183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B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FRACTION</w:t>
            </w:r>
          </w:p>
        </w:tc>
        <w:tc>
          <w:tcPr>
            <w:tcW w:w="12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B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UNIT</w:t>
            </w:r>
          </w:p>
        </w:tc>
        <w:tc>
          <w:tcPr>
            <w:tcW w:w="256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B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RESULT_QUALIFIER</w:t>
            </w:r>
          </w:p>
        </w:tc>
        <w:tc>
          <w:tcPr>
            <w:tcW w:w="4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BB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RESULT_QUALIFIER_NOTE</w:t>
            </w:r>
          </w:p>
        </w:tc>
      </w:tr>
      <w:tr w:rsidR="008B66A6" w14:paraId="79792BC6" w14:textId="77777777" w:rsidTr="008B66A6">
        <w:trPr>
          <w:jc w:val="center"/>
        </w:trPr>
        <w:tc>
          <w:tcPr>
            <w:tcW w:w="406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B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0801PEA0502_DH</w:t>
            </w:r>
          </w:p>
        </w:tc>
        <w:tc>
          <w:tcPr>
            <w:tcW w:w="255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83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BC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0801PEA0502_DH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BD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C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0801PEA0502_DH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BD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0801WHI0958_DH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potassium</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qualifier, analyte detected in method blank</w:t>
            </w:r>
          </w:p>
        </w:tc>
      </w:tr>
      <w:tr w:rsidR="008B66A6" w14:paraId="79792BE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D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0903LOW0155_DH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BE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0903USA0296_DH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BF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E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0905CHA0303_DH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nitrate_nitrite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percent recovery &lt; 75%</w:t>
            </w:r>
          </w:p>
        </w:tc>
      </w:tr>
      <w:tr w:rsidR="008B66A6" w14:paraId="79792BF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0905CHA0303_DH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sodium</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qualifier, analyte detected in method blank</w:t>
            </w:r>
          </w:p>
        </w:tc>
      </w:tr>
      <w:tr w:rsidR="008B66A6" w14:paraId="79792C0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BF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0906GRA0051_DH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C0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0905LON0237_DH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C1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0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1005GRE0464_DH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C1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1003SIL0073_DH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2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1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1003SIL0073_DH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2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1003SIL0073_DH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nitrate_nitrite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3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2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1003SIL0073_DH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3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1003SIL0073_DH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ph_for_color_analysis</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not_applicable</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 units</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4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3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1003SIL0073_DH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4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1104THI0540_DH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C5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4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1104THI0540_DH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sodium</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 qualifier, analyte detected in method blank</w:t>
            </w:r>
          </w:p>
        </w:tc>
      </w:tr>
      <w:tr w:rsidR="008B66A6" w14:paraId="79792C5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1201NIN0719_DH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C6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5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1203DIA0822_DH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C6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1201KLO0708_DH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ammonia</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7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6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1201KLO0708_DH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copper</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7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1201KLO0708_DH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kjeldahl_nitrogen</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8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7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1201KLO0708_DH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nitrogen</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8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1201KLO0708_DH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ph_for_color_analysis</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not_applicable</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 units</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9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8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1201KLO0708_DH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phosphorus</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9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1201KLO0708_DH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A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9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1306DEW0449_DH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CA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1301BAR0192B_DH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ph_for_color_analysis</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not_applicable</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pH units</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B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A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1301BAR0192B_DH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B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1301BUR0386C_DH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CC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B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1303BEA0234_DH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CC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1401BIG0075_DH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CD6"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C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1401MUD0175_DH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r w:rsidR="008B66A6" w14:paraId="79792CDE" w14:textId="77777777" w:rsidTr="008B66A6">
        <w:trPr>
          <w:jc w:val="center"/>
        </w:trPr>
        <w:tc>
          <w:tcPr>
            <w:tcW w:w="40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7"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8"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1403FOR0322_DH</w:t>
            </w:r>
          </w:p>
        </w:tc>
        <w:tc>
          <w:tcPr>
            <w:tcW w:w="255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9"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zinc</w:t>
            </w:r>
          </w:p>
        </w:tc>
        <w:tc>
          <w:tcPr>
            <w:tcW w:w="183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A"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dissolved</w:t>
            </w:r>
          </w:p>
        </w:tc>
        <w:tc>
          <w:tcPr>
            <w:tcW w:w="121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B"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C"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792CDD"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none</w:t>
            </w:r>
          </w:p>
        </w:tc>
      </w:tr>
      <w:tr w:rsidR="008B66A6" w14:paraId="79792CE6" w14:textId="77777777" w:rsidTr="008B66A6">
        <w:trPr>
          <w:jc w:val="center"/>
        </w:trPr>
        <w:tc>
          <w:tcPr>
            <w:tcW w:w="406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CDF"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Lake Probability Sampling 2024-2025</w:t>
            </w:r>
          </w:p>
        </w:tc>
        <w:tc>
          <w:tcPr>
            <w:tcW w:w="2453"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CE0"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1401WHI0117_DH</w:t>
            </w:r>
          </w:p>
        </w:tc>
        <w:tc>
          <w:tcPr>
            <w:tcW w:w="255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CE1"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nitrite</w:t>
            </w:r>
          </w:p>
        </w:tc>
        <w:tc>
          <w:tcPr>
            <w:tcW w:w="183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CE2"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total</w:t>
            </w:r>
          </w:p>
        </w:tc>
        <w:tc>
          <w:tcPr>
            <w:tcW w:w="121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CE3"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ug/L</w:t>
            </w:r>
          </w:p>
        </w:tc>
        <w:tc>
          <w:tcPr>
            <w:tcW w:w="256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CE4"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shd w:val="clear" w:color="auto" w:fill="FF0000"/>
              </w:rPr>
            </w:pPr>
            <w:r>
              <w:rPr>
                <w:rFonts w:ascii="Arial" w:eastAsia="Arial" w:hAnsi="Arial" w:cs="Arial"/>
                <w:color w:val="000000"/>
                <w:sz w:val="22"/>
                <w:szCs w:val="22"/>
                <w:shd w:val="clear" w:color="auto" w:fill="FF0000"/>
              </w:rPr>
              <w:t>R</w:t>
            </w:r>
          </w:p>
        </w:tc>
        <w:tc>
          <w:tcPr>
            <w:tcW w:w="490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792CE5" w14:textId="77777777" w:rsidR="008B66A6"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sample holding time &gt; max holding time buffer</w:t>
            </w:r>
          </w:p>
        </w:tc>
      </w:tr>
    </w:tbl>
    <w:p w14:paraId="79792CE7" w14:textId="77777777" w:rsidR="008B66A6" w:rsidRDefault="00000000">
      <w:pPr>
        <w:pStyle w:val="Heading2"/>
      </w:pPr>
      <w:bookmarkStart w:id="12" w:name="X1953a4621e1d0eb4df673349626b22ae0657c1e"/>
      <w:r>
        <w:t>Section 2.5 Evaluating Data in Terms of User Needs</w:t>
      </w:r>
    </w:p>
    <w:p w14:paraId="79792CE8" w14:textId="77777777" w:rsidR="008B66A6" w:rsidRDefault="00000000">
      <w:pPr>
        <w:pStyle w:val="FirstParagraph"/>
      </w:pPr>
      <w:r>
        <w:t>Suggested wording</w:t>
      </w:r>
    </w:p>
    <w:p w14:paraId="79792CE9" w14:textId="77777777" w:rsidR="008B66A6" w:rsidRDefault="00000000">
      <w:pPr>
        <w:pStyle w:val="BodyText"/>
      </w:pPr>
      <w:r>
        <w:t>The evaluations described in this DUAR indicate that the data are of sufficient quality to meet the project objectives. The intended use of the data is to establish a baseline to inform NYSDEC Division of Water’s priorities for water quality monitoring through the RIBS monitoring program. Impacts to data quality occurred infrequently and any impacts toward usability were indicated as DOW qualifiers and notes.</w:t>
      </w:r>
      <w:bookmarkEnd w:id="11"/>
      <w:bookmarkEnd w:id="12"/>
    </w:p>
    <w:sectPr w:rsidR="008B66A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A0C2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59777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8B66A6"/>
    <w:rsid w:val="002A5AEE"/>
    <w:rsid w:val="00404654"/>
    <w:rsid w:val="008B6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929D0"/>
  <w15:docId w15:val="{0AE0D7BF-410F-4C30-AEC6-A551CCFC9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2257</Words>
  <Characters>12868</Characters>
  <Application>Microsoft Office Word</Application>
  <DocSecurity>0</DocSecurity>
  <Lines>107</Lines>
  <Paragraphs>30</Paragraphs>
  <ScaleCrop>false</ScaleCrop>
  <Company/>
  <LinksUpToDate>false</LinksUpToDate>
  <CharactersWithSpaces>15095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main_script</dc:title>
  <dc:creator/>
  <cp:keywords/>
  <cp:lastModifiedBy>Reynolds, Keleigh A (DEC)</cp:lastModifiedBy>
  <cp:revision>2</cp:revision>
  <dcterms:created xsi:type="dcterms:W3CDTF">2026-04-03T16:38:00Z</dcterms:created>
  <dcterms:modified xsi:type="dcterms:W3CDTF">2026-04-03T16:47:00Z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params">
    <vt:lpwstr/>
  </property>
  <property fmtid="{D5CDD505-2E9C-101B-9397-08002B2CF9AE}" pid="10" name="toc-title">
    <vt:lpwstr>Table of contents</vt:lpwstr>
  </property>
</Properties>
</file>