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6/10/2020</w:t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Table:Table 2: 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Figure 1: 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3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4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5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6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7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8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9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0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1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2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3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4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5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6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7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8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19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0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1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2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3)caption test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Figure 21: 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2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3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544151" cy="3696101"/>
            <wp:effectExtent b="0" l="0" r="0" t="0"/>
            <wp:docPr descr="(#fig:chemgraph24)The X-axis presents sampling locations from upstream to downstream and axis labels correspond with Table 1, Figure 1 and Figure 2. The y-axis represents base log10 analyte concentrations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parent_files/figure-docx/chemgraph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X8f33ec2cf2a5f7dfebab01bc746d57e0540829b"/>
      <w:r>
        <w:t xml:space="preserve">Section 1B - Benthic Macroinvertebrate Community</w:t>
      </w:r>
      <w:bookmarkEnd w:id="51"/>
    </w:p>
    <w:p>
      <w:pPr>
        <w:pStyle w:val="Heading1"/>
      </w:pPr>
      <w:bookmarkStart w:id="52" w:name="Xf902c53d879c4fd4716d1c3c01d5e5616ce6453"/>
      <w:r>
        <w:t xml:space="preserve">Section 1C - Stream Reach Physical Characteristics</w:t>
      </w:r>
      <w:bookmarkEnd w:id="52"/>
    </w:p>
    <w:p>
      <w:pPr>
        <w:pStyle w:val="TableCaption"/>
      </w:pPr>
      <w:r>
        <w:t xml:space="preserve">Table: Table 3: 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Left/Right Bank Stability (L/R Bank Stab.); Left/Right Bank Vegetative Cover (L/R Bank Veg.); Left/Right Bank Riparian Vegetative Zone Width (L/R Rip. Width).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85"/>
        <w:gridCol w:w="144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Collection </w:t>
              <w:br/>
              <w:t xml:space="preserve">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Vel/Dep. </w:t>
              <w:br/>
              <w:t xml:space="preserve"> Reg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Rif. </w:t>
              <w:br/>
              <w:t xml:space="preserve"> Freq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2017-07-26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2018-08-28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2018-09-06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2019-08-14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</w:tbl>
    <w:p>
      <w:pPr>
        <w:pStyle w:val="Heading1"/>
      </w:pPr>
      <w:bookmarkStart w:id="53" w:name="section-1d---user-perception"/>
      <w:r>
        <w:t xml:space="preserve">Section 1D - User Perception</w:t>
      </w:r>
      <w:bookmarkEnd w:id="53"/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Figure 25: Mean observer ranking of recreational ability for Wallkill River sampling locations. Columns represent observer rankings for the desire to participate in 1° and 2° contact recreation. Ranking of recreation ability was performed for all locations during each site visit." title="" id="1" name="Picture"/>
            <a:graphic>
              <a:graphicData uri="http://schemas.openxmlformats.org/drawingml/2006/picture">
                <pic:pic>
                  <pic:nvPicPr>
                    <pic:cNvPr descr="parent_files/figure-docx/userP-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25: 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pPr>
        <w:pStyle w:val="TableCaption"/>
      </w:pPr>
      <w:r>
        <w:t xml:space="preserve">Table: Table 4: 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pPr>
        <w:pStyle w:val="TableCaption"/>
      </w:pPr>
      <w:r>
        <w:t xml:space="preserve">Table: Table 5: 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pPr>
        <w:pStyle w:val="Heading1"/>
      </w:pPr>
      <w:bookmarkStart w:id="55" w:name="X8b9f80cff800192340a10c14ae659e213c14d81"/>
      <w:r>
        <w:t xml:space="preserve">Section 1E - Sediment and Porewater Microtox® Analysis</w:t>
      </w:r>
      <w:bookmarkEnd w:id="55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56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Table: Table 6: 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56" Target="https://www.dec.ny.gov/chemical/2985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s://www.dec.ny.gov/chemical/29854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Reporting Draft</dc:title>
  <dc:creator>NYSDEC SMAS : Keleigh Reynolds</dc:creator>
  <cp:keywords/>
  <dcterms:created xsi:type="dcterms:W3CDTF">2020-06-15T17:54:20Z</dcterms:created>
  <dcterms:modified xsi:type="dcterms:W3CDTF">2020-06-15T17:54:20Z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