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8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FirstParagraph"/>
      </w:pPr>
      <w:r>
        <w:t xml:space="preserve">#Section 1 - General</w:t>
      </w:r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BodyText"/>
      </w:pPr>
      <w:r>
        <w:t xml:space="preserve">#Section 1A - Water Chemistry and Stream Discharge</w:t>
      </w:r>
    </w:p>
    <w:p>
      <w:pPr>
        <w:pStyle w:val="Heading2"/>
      </w:pPr>
      <w:bookmarkStart w:id="20" w:name="analyte-table"/>
      <w:r>
        <w:t xml:space="preserve">Analyte Table</w:t>
      </w:r>
      <w:bookmarkEnd w:id="20"/>
    </w:p>
    <w:p>
      <w:pPr>
        <w:pStyle w:val="TableCaption"/>
      </w:pPr>
      <w:r>
        <w:t xml:space="preserve">Table:Table 2: Water chemistry analytes sampled as part of the Ramapo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18"/>
        <w:gridCol w:w="1742"/>
        <w:gridCol w:w="2047"/>
        <w:gridCol w:w="1241"/>
        <w:gridCol w:w="1241"/>
        <w:gridCol w:w="2109"/>
        <w:gridCol w:w="2438"/>
        <w:gridCol w:w="2255"/>
        <w:gridCol w:w="2683"/>
        <w:gridCol w:w="1876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Analytical 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Standard 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Calibration: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Method Detection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Reporting Limit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~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mg/L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mg/L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NTU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mg/L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µ/L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µ/L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chem.graph</w:t>
      </w:r>
      <w:r>
        <w:rPr>
          <w:rStyle w:val="NormalTok"/>
        </w:rPr>
        <w:t xml:space="preserve">(chem.trans)  </w:t>
      </w:r>
    </w:p>
    <w:p>
      <w:pPr>
        <w:pStyle w:val="FirstParagraph"/>
      </w:pPr>
      <w:r>
        <w:drawing>
          <wp:inline>
            <wp:extent cx="5544151" cy="5544151"/>
            <wp:effectExtent b="0" l="0" r="0" t="0"/>
            <wp:docPr descr="Figure 1: 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1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(#fig:chem1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(#fig:chem.2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(#fig:chem.2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#Section 1B - Benthic Macroinvertebrate Community</w:t>
      </w:r>
    </w:p>
    <w:p>
      <w:pPr>
        <w:pStyle w:val="BodyText"/>
      </w:pPr>
      <w:r>
        <w:t xml:space="preserve">#Section 1C - Stream Reach Physical Characteristics</w:t>
      </w:r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BodyText"/>
      </w:pPr>
      <w:r>
        <w:t xml:space="preserve">#Section 1D - User Perception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4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Table:Table 5: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BodyText"/>
      </w:pPr>
      <w:r>
        <w:t xml:space="preserve">#Section 1E - Sediment and Porewater Microtox® Analysis</w:t>
      </w:r>
    </w:p>
    <w:p>
      <w:pPr>
        <w:pStyle w:val="BodyText"/>
      </w:pPr>
      <w:r>
        <w:t xml:space="preserve">Toxicity testing of surface waters, sediments, porewaters, and effluents are routinely performed as part of the RIBS program (</w:t>
      </w:r>
      <w:hyperlink r:id="rId49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6: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hyperlink" Id="rId49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2020-06-11T18:50:22Z</dcterms:created>
  <dcterms:modified xsi:type="dcterms:W3CDTF">2020-06-11T18:50:22Z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