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Wallkill</w:t>
      </w:r>
      <w:r>
        <w:t xml:space="preserve"> </w:t>
      </w:r>
      <w:r>
        <w:t xml:space="preserve">Reporting</w:t>
      </w:r>
      <w:r>
        <w:t xml:space="preserve"> </w:t>
      </w:r>
      <w:r>
        <w:t xml:space="preserve">Draft</w:t>
      </w:r>
    </w:p>
    <w:p>
      <w:pPr>
        <w:pStyle w:val="Author"/>
      </w:pPr>
      <w:r>
        <w:t xml:space="preserve">NYSDEC</w:t>
      </w:r>
      <w:r>
        <w:t xml:space="preserve"> </w:t>
      </w:r>
      <w:r>
        <w:t xml:space="preserve">SMAS</w:t>
      </w:r>
    </w:p>
    <w:p>
      <w:pPr>
        <w:pStyle w:val="Date"/>
      </w:pPr>
      <w:r>
        <w:t xml:space="preserve">2020-12-21</w:t>
      </w:r>
    </w:p>
    <w:p>
      <w:r>
        <w:br w:type="page"/>
      </w:r>
    </w:p>
    <w:p>
      <w:pPr>
        <w:pStyle w:val="Heading1"/>
      </w:pPr>
      <w:bookmarkStart w:id="20" w:name="section-1---background"/>
      <w:r>
        <w:t xml:space="preserve">Section 1 - Background</w:t>
      </w:r>
      <w:bookmarkEnd w:id="20"/>
    </w:p>
    <w:p>
      <w:pPr>
        <w:pStyle w:val="FirstParagraph"/>
      </w:pPr>
      <w:r>
        <w:t xml:space="preserve">         The Wallkill River flows approximately 90 miles north and drains approximately 760 square miles throughout New York State (NYS) and northern New Jersey. In NYS alone, the Wallkill flows approximately 66 miles and drains 552 square miles across 48 municipalities. With only the Mohawk River larger, the combined watersheds of the Wallkill and Rondout Creek form the second largest tributary to the lower Hudson River. With a highly complex and variable land use coverage across the basin, agriculture, urban stormwater, and wastewater treatment facilities (WWTF) drive water quality concerns related to nutrients, algal blooms, and low dissolved oxygen.</w:t>
      </w:r>
      <w:r>
        <w:br/>
      </w:r>
      <w:r>
        <w:br/>
      </w:r>
      <w:r>
        <w:t xml:space="preserve">          Between 2017 and 2019, a Stream Assessment Survey was conducted by the Rotating Integrated Basin Studies (RIBS) Program throughout the mainstem Wallkill and its tributaries (Figure 1). The RIBS Program operates on a five-year, rotational schedule to generate statewide water quality data in support of the Waterbody Inventory/Priority Waterbody List (WI/PWL) towards the goal of protection and restoration of water quality resources (RIBS QAPP, 2017-2019). The RIBS Program also conducts special surveys outside of this five-year cycle to support Department-initiated priorities related to water quality (RIBS QAPP, 2017-2019). The objectives of the Wallkill watershed survey were to 1) update condition assessments for Waterbody Inventory/Priority Waterbody List (WI/PWL) segments throughout the basin, 2) identify areas of elevated nutrient concentrations, 3) assess biological community condition and, 4) collect data to inform watershed planning efforts to mitigate nutrient impacts.</w:t>
      </w:r>
      <w:r>
        <w:br/>
      </w:r>
      <w:r>
        <w:t xml:space="preserve">         Details on numbers of sites – mainstem and tribs AND Sturgeon Pool – need to include PEERS discussion here</w:t>
      </w:r>
      <w:r>
        <w:br/>
      </w:r>
      <w:r>
        <w:t xml:space="preserve">         To characterize the Wallkill watershed, Bureau of Water Assessment and Management’s Stream Monitoring and Assessment Section (SMAS), Hudson River Estuary Program, and participants in the Professional External Evaluations of Rivers and Streams (PEERS) Program collected several measures of water quality at each of the 39 sampling locations across 19 WI/PWL segments between the months of July and October during 2017, 2018, and 2019 (Table 1, Figure 1 and Figure 2).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Compact"/>
        <w:numPr>
          <w:numId w:val="1001"/>
          <w:ilvl w:val="0"/>
        </w:numPr>
      </w:pPr>
      <w:r>
        <w:t xml:space="preserve">Sediment and Porewater Microtox Analysis</w:t>
      </w:r>
    </w:p>
    <w:p>
      <w:pPr>
        <w:pStyle w:val="FirstParagraph"/>
      </w:pPr>
      <w:r>
        <w:t xml:space="preserve">         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c16e5b26-9540-4941-bf88-8b8fc8594ec1"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16e5b26-9540-4941-bf88-8b8fc8594ec1"/>
      <w:r>
        <w:t xml:space="preserve">: </w:t>
      </w:r>
      <w:r>
        <w:t xml:space="preserve">Wallkill River (WALK) 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968"/>
        <w:tblLook w:firstRow="1" w:lastRow="0" w:firstColumn="0" w:lastColumn="0" w:noHBand="0" w:noVBand="1"/>
      </w:tblPr>
      <w:tblGrid>
        <w:gridCol w:w="1440"/>
        <w:gridCol w:w="1440"/>
        <w:gridCol w:w="864"/>
        <w:gridCol w:w="864"/>
        <w:gridCol w:w="1152"/>
        <w:gridCol w:w="648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OIL CITY RD. AT USFWS WILDLIFE REFUGE (BEFORE 2017. SAMPLES WERE TAKEN 0.4 MILES OFF STATE LINE RD. ON FARM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41.29083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-74.53056</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13-POCH-2.6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LIBERTY CORNERS ROAD/PINE ISLAND TPKE IN PINE ISLAND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41.29801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-74.47060</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13-POCH-1.8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TRANSPORT LN OFF COUTNY ROUTE 1. ACCESS BEHIND BARN NEXT TO CALF PEN. FOLLOW PEN OM THE LEFT SIDE AND ACCESS RIVER FROM BEHIND.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41.30042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-74.47224</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13-RUTG-9.3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1 IN WESTTOWN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41.34120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-74.54362</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METERS DOWNSTREAM OF COUNTY RTE 12.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41.33579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-74.48799</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BELOW RT. 6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41.32722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-74.41639</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6 1/2 STATION RD. OVERPASS. DOWNSTREAM OF VILLAGE OF GOSHEN.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-74.35923</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13-RIOG_T1-0.8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 AT HERTIAGE TRAIL IN GOSHEN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-74.34147</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HARTLEY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41.40860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-74.37299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ECHO LAKE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41.41222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-74.37805</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 M UPSTREAM OF MIDDLETOWN STP DISCHARGE.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41.42833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-74.42389</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ABOVE GOLF LINKS RD. BRIDGE. 4.1 MI. BELOW STP.</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41.42361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-74.38111</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MAPES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41.45587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-74.49380</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KOHLER RD.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41.42198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-74.56069</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41.44134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-74.52977</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RTE 24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41.43961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-74.53890</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UPSTREAM OF SILVER LAKE IN MIDDLETOWN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41.46532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-74.38695</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Upper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1306-0072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COUNTY ROUTE 50 (GOLF LINKS RD.) OVERPASS. UPSTREAM OF CONFLUENCE WITH WALLKILL RIVER.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41.43765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-74.37287</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MIDWAY RD.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41.43879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-74.36565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 M BELOW RT. 211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41.50250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-74.26334</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ACCESS VIA PARK ON FARM MEADOW LANE.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41.54217</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-74.20946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AT ULSTER AVE./RTE 208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41.57325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-74.18353</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DOWNSTREAM OF TIN BROOK. SR 208.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41.57630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-74.19071</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13-TINW_T3-2.1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BEREA ROAD CROSSING IN WALDEN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41.53659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-74.17153</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13-TINW-4.5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NEAR ROUTE 52/ROUTE 85 INTERSECTION IN WALDEN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41.55868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-74.15782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1306-0062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BATES RD. BRIDGE.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41.62444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-74.19945</w:t>
            </w:r>
          </w:p>
        </w:tc>
      </w:tr>
      <w:tr>
        <w:trPr>
          <w:cantSplit/>
          <w:trHeight w:val="45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MILL BROOK AT HUGENOT STREET IN NEW PALTZ</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41.76295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-74.08449</w:t>
            </w:r>
          </w:p>
        </w:tc>
      </w:tr>
      <w:tr>
        <w:trPr>
          <w:cantSplit/>
          <w:trHeight w:val="453"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13-WALK_T15-0.1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SAW MILL BROOK AT SOJOURNER TRUTH BOAT LAUNCH IN NEW PALTZ </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41.74327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-74.09239</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41.63500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-74.18889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LAZY RIVER CAMPGROUND-20 M ABOVE SHAWANGUNK CONFL.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41.68306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-74.16444</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 M BELOW CO. RT. 9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41.68722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-74.17278</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13-PKIL-5.7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RTE 44 IN MODENA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41.67009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-74.11449</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13-PKIL-0.4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Middle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 M ABOVE RTE 208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41.72528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-74.10472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(MULTIPLATE) UPSTREAM OF NEW PALTZ GOLF COURSE. BOAT LAUNCH UPSTREAM OF RTE 209 AT 41.743779 / -74.092916.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41.76574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-74.09297</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1306-0042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DUG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41.77490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-74.09750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13-WALK-2.1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OFF SR 213. NEAR DASHVILLE.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41.82530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-74.04720</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Lower Wallkill Trib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41.83242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-74.03169</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sturgeon_pool_epilimnion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sturgeon_pool_hypolimnion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Wallkill Main Stem-Ponded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1306-0037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41.84360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-74.04260</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868e905f-93c1-48b7-af65-f0b3c5d233c3"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68e905f-93c1-48b7-af65-f0b3c5d233c3"/>
      <w:r>
        <w:t xml:space="preserve">: </w:t>
      </w:r>
      <w:r>
        <w:t xml:space="preserve">Map of Wallkill River (WALK)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analyte-table"/>
      <w:r>
        <w:t xml:space="preserve">Analyte Table</w:t>
      </w:r>
      <w:bookmarkEnd w:id="22"/>
    </w:p>
    <w:p>
      <w:pPr>
        <w:pStyle w:val="TableCaption"/>
      </w:pPr>
      <w:r>
        <w:t xml:space="preserve">Table </w:t>
      </w:r>
      <w:bookmarkStart w:id="e6143519-bbe5-4781-800d-b4ac383d18e6"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6143519-bbe5-4781-800d-b4ac383d18e6"/>
      <w:r>
        <w:t xml:space="preserve">: </w:t>
      </w:r>
      <w:r>
        <w:t xml:space="preserve">Water chemistry analytes sampled as part of the Wallkill River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p>
        </w:tc>
      </w:tr>
    </w:tbl>
    <w:p>
      <w:r>
        <w:br w:type="page"/>
      </w:r>
    </w:p>
    <w:p>
      <w:pPr>
        <w:pStyle w:val="Heading2"/>
      </w:pPr>
      <w:bookmarkStart w:id="23" w:name="water-chemistry-by-pwl-id"/>
      <w:r>
        <w:t xml:space="preserve">Water Chemistry by PWL ID</w:t>
      </w:r>
      <w:bookmarkEnd w:id="23"/>
    </w:p>
    <w:p>
      <w:pPr>
        <w:jc w:val="center"/>
        <w:pStyle w:val="Figure"/>
      </w:pPr>
      <w:r>
        <w:rPr/>
        <w:drawing>
          <wp:inline distT="0" distB="0" distL="0" distR="0">
            <wp:extent cx="54864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d9b9fd5-d9ef-416a-b92a-dc380d925f6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d9b9fd5-d9ef-416a-b92a-dc380d925f6d"/>
      <w:r>
        <w:t xml:space="preserve">: </w:t>
      </w:r>
      <w:r>
        <w:t xml:space="preserve">Aluminum,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244880ed-c9d9-47f1-a4a4-1b8cb7c78b7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44880ed-c9d9-47f1-a4a4-1b8cb7c78b74"/>
      <w:r>
        <w:t xml:space="preserve">: </w:t>
      </w:r>
      <w:r>
        <w:t xml:space="preserve">Nickel,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abeed7cf-88e4-435b-bf52-3f58442c4483"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beed7cf-88e4-435b-bf52-3f58442c4483"/>
      <w:r>
        <w:t xml:space="preserve">: </w:t>
      </w:r>
      <w:r>
        <w:t xml:space="preserve">Nitrate+Nitrite,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4b6869a3-59c9-4032-b110-5eb9136038a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b6869a3-59c9-4032-b110-5eb9136038a8"/>
      <w:r>
        <w:t xml:space="preserve">: </w:t>
      </w:r>
      <w:r>
        <w:t xml:space="preserve">Turbidity,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14489127-779c-45a4-9b47-d545685ccf43"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489127-779c-45a4-9b47-d545685ccf43"/>
      <w:r>
        <w:t xml:space="preserve">: </w:t>
      </w:r>
      <w:r>
        <w:t xml:space="preserve">Nitrite,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bb8fc547-f9d8-4697-abb5-c7d8f7d4580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b8fc547-f9d8-4697-abb5-c7d8f7d45809"/>
      <w:r>
        <w:t xml:space="preserve">: </w:t>
      </w:r>
      <w:r>
        <w:t xml:space="preserve">Alkalinity,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a311b1d8-06b6-4ab4-8f49-94410d1b6fa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311b1d8-06b6-4ab4-8f49-94410d1b6fad"/>
      <w:r>
        <w:t xml:space="preserve">: </w:t>
      </w:r>
      <w:r>
        <w:t xml:space="preserve">Chlorophyll A,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4c72a33f-f061-448a-9157-72d7096e633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c72a33f-f061-448a-9157-72d7096e633b"/>
      <w:r>
        <w:t xml:space="preserve">: </w:t>
      </w:r>
      <w:r>
        <w:t xml:space="preserve">Magnesium,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33c3aa8-3450-4a88-9b39-37693034d26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33c3aa8-3450-4a88-9b39-37693034d266"/>
      <w:r>
        <w:t xml:space="preserve">: </w:t>
      </w:r>
      <w:r>
        <w:t xml:space="preserve">Copper,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58159664-31dd-4a22-9c3d-0f7808d1abb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8159664-31dd-4a22-9c3d-0f7808d1abb7"/>
      <w:r>
        <w:t xml:space="preserve">: </w:t>
      </w:r>
      <w:r>
        <w:t xml:space="preserve">Hardness (as CaCO3),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71e98299-7197-4a00-84d1-8254a4e5a4c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e98299-7197-4a00-84d1-8254a4e5a4ca"/>
      <w:r>
        <w:t xml:space="preserve">: </w:t>
      </w:r>
      <w:r>
        <w:t xml:space="preserve">Silver,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c76bf673-395e-4145-962f-6c7d7c51cf0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76bf673-395e-4145-962f-6c7d7c51cf05"/>
      <w:r>
        <w:t xml:space="preserve">: </w:t>
      </w:r>
      <w:r>
        <w:t xml:space="preserve">Total Phosphorus,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7611c72a-a373-466b-95be-c690eea518f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611c72a-a373-466b-95be-c690eea518ff"/>
      <w:r>
        <w:t xml:space="preserve">: </w:t>
      </w:r>
      <w:r>
        <w:t xml:space="preserve">Total Kjeldahl Nitrogen,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9c54d6f-9daa-4142-9e07-7e5bdb4960a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c54d6f-9daa-4142-9e07-7e5bdb4960a9"/>
      <w:r>
        <w:t xml:space="preserve">: </w:t>
      </w:r>
      <w:r>
        <w:t xml:space="preserve">Nitrate,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c0c01fcf-b6fb-4207-9689-f5c34b529b1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0c01fcf-b6fb-4207-9689-f5c34b529b16"/>
      <w:r>
        <w:t xml:space="preserve">: </w:t>
      </w:r>
      <w:r>
        <w:t xml:space="preserve">Cadmium,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1e8b7c4-c2b9-4234-9545-b9c45f0b4f8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e8b7c4-c2b9-4234-9545-b9c45f0b4f82"/>
      <w:r>
        <w:t xml:space="preserve">: </w:t>
      </w:r>
      <w:r>
        <w:t xml:space="preserve">Lead,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13dd8cd-3566-4011-b8c4-21601dc89bc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13dd8cd-3566-4011-b8c4-21601dc89bc0"/>
      <w:r>
        <w:t xml:space="preserve">: </w:t>
      </w:r>
      <w:r>
        <w:t xml:space="preserve">Zinc,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1e791679-f978-4875-a362-7867b84d887f"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e791679-f978-4875-a362-7867b84d887f"/>
      <w:r>
        <w:t xml:space="preserve">: </w:t>
      </w:r>
      <w:r>
        <w:t xml:space="preserve">Calcium,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9a9dcc0-88cb-4a2b-9557-3598675f677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9a9dcc0-88cb-4a2b-9557-3598675f677a"/>
      <w:r>
        <w:t xml:space="preserve">: </w:t>
      </w:r>
      <w:r>
        <w:t xml:space="preserve">Chloride,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9836f49-4092-4873-89f1-a2345d50cc5b"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9836f49-4092-4873-89f1-a2345d50cc5b"/>
      <w:r>
        <w:t xml:space="preserve">: </w:t>
      </w:r>
      <w:r>
        <w:t xml:space="preserve">Arsenic,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54ffbd3-3e89-4a05-a0c0-0c8ca61d0ce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54ffbd3-3e89-4a05-a0c0-0c8ca61d0cea"/>
      <w:r>
        <w:t xml:space="preserve">: </w:t>
      </w:r>
      <w:r>
        <w:t xml:space="preserve">Total Dissolved Solids,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8355bbd5-9446-425e-8709-713d5bf2d8d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355bbd5-9446-425e-8709-713d5bf2d8dc"/>
      <w:r>
        <w:t xml:space="preserve">: </w:t>
      </w:r>
      <w:r>
        <w:t xml:space="preserve">Ammonia,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81a98544-3d9a-4c46-80c7-c5400259d6b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1a98544-3d9a-4c46-80c7-c5400259d6bd"/>
      <w:r>
        <w:t xml:space="preserve">: </w:t>
      </w:r>
      <w:r>
        <w:t xml:space="preserve">Iron,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8fbe0475-1f86-491e-bfbc-41be2062e13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fbe0475-1f86-491e-bfbc-41be2062e135"/>
      <w:r>
        <w:t xml:space="preserve">: </w:t>
      </w:r>
      <w:r>
        <w:t xml:space="preserve">SULFATE (AS SO4),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0eb9aa8c-890e-4ec7-92c7-d560fad9673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eb9aa8c-890e-4ec7-92c7-d560fad96736"/>
      <w:r>
        <w:t xml:space="preserve">: </w:t>
      </w:r>
      <w:r>
        <w:t xml:space="preserve">Manganese,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29b9219c-9de4-4187-8309-1a047147db8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9b9219c-9de4-4187-8309-1a047147db88"/>
      <w:r>
        <w:t xml:space="preserve">: </w:t>
      </w:r>
      <w:r>
        <w:t xml:space="preserve">DISSOLVED ORGANIC CARBON,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52f838e-398d-4a62-9cca-7491285b8c9d"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52f838e-398d-4a62-9cca-7491285b8c9d"/>
      <w:r>
        <w:t xml:space="preserve">: </w:t>
      </w:r>
      <w:r>
        <w:t xml:space="preserve">TOTAL ORGANIC CARBON, The X-axis presents WI/PWL ID of the sampling locations from upstream to downstream. Color of the box represents the location of the WI/WPL in the watershed as indicated in the plot legend. Horizontal lines represent the 95th, 75th, and 25th percentiles of statewide data for each endpoint. Note that the percentiles do not apply to the ponded WI/PWL segment.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7"/>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ae9c5dd2-31e8-4362-99c5-2c4954c18425"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e9c5dd2-31e8-4362-99c5-2c4954c18425"/>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8"/>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e71f4491-f136-41eb-a909-99dd1262071d"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71f4491-f136-41eb-a909-99dd1262071d"/>
      <w:r>
        <w:t xml:space="preserve">: </w:t>
      </w:r>
      <w:r>
        <w:t xml:space="preserve">DISSOLVED_OXYGEN,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9"/>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cc9b5686-6249-494b-8a9e-274e246e61f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c9b5686-6249-494b-8a9e-274e246e61f1"/>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60"/>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18cd4b36-6f18-43f3-8df6-bfcd8d503c99"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8cd4b36-6f18-43f3-8df6-bfcd8d503c99"/>
      <w:r>
        <w:t xml:space="preserve">: </w:t>
      </w:r>
      <w:r>
        <w:t xml:space="preserve">PC_RFU,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61"/>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84feccc3-382f-4a1f-80b7-c8a856d2a35c"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4feccc3-382f-4a1f-80b7-c8a856d2a35c"/>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62"/>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9b3b4bc0-0bc2-4c19-8cb7-9e163c5dc1f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b3b4bc0-0bc2-4c19-8cb7-9e163c5dc1f6"/>
      <w:r>
        <w:t xml:space="preserve">: </w:t>
      </w:r>
      <w:r>
        <w:t xml:space="preserve">CONDUCTANCE,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63"/>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4a140f81-9c33-496b-bad7-5632a3023542"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a140f81-9c33-496b-bad7-5632a3023542"/>
      <w:r>
        <w:t xml:space="preserve">: </w:t>
      </w:r>
      <w:r>
        <w:t xml:space="preserve">PCT_SATURATION,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64"/>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d6dd2b56-ee34-445c-ba3c-049427f5ac8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6dd2b56-ee34-445c-ba3c-049427f5ac8b"/>
      <w:r>
        <w:t xml:space="preserve">: </w:t>
      </w:r>
      <w:r>
        <w:t xml:space="preserve">Chl_ugL,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65"/>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429378e2-d9dd-4cd3-8111-92ce1034f5c9"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29378e2-d9dd-4cd3-8111-92ce1034f5c9"/>
      <w:r>
        <w:t xml:space="preserve">: </w:t>
      </w:r>
      <w:r>
        <w:t xml:space="preserve">Chl_RFU,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5486400" cy="365760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66"/>
                    <a:srcRect/>
                    <a:stretch>
                      <a:fillRect/>
                    </a:stretch>
                  </pic:blipFill>
                  <pic:spPr bwMode="auto">
                    <a:xfrm>
                      <a:off x="0" y="0"/>
                      <a:ext cx="76200" cy="50800"/>
                    </a:xfrm>
                    <a:prstGeom prst="rect">
                      <a:avLst/>
                    </a:prstGeom>
                    <a:noFill/>
                  </pic:spPr>
                </pic:pic>
              </a:graphicData>
            </a:graphic>
          </wp:inline>
        </w:drawing>
      </w:r>
    </w:p>
    <w:p>
      <w:pPr>
        <w:pStyle w:val="ImageCaption"/>
      </w:pPr>
      <w:r>
        <w:t xml:space="preserve">Figure </w:t>
      </w:r>
      <w:bookmarkStart w:id="33fb0e57-3007-47a3-919d-470a4d6fda17"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3fb0e57-3007-47a3-919d-470a4d6fda17"/>
      <w:r>
        <w:t xml:space="preserve">: </w:t>
      </w:r>
      <w:r>
        <w:t xml:space="preserve">PC_ugL,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r>
        <w:br w:type="page"/>
      </w:r>
    </w:p>
    <w:p>
      <w:pPr>
        <w:pStyle w:val="Heading1"/>
      </w:pPr>
      <w:bookmarkStart w:id="24" w:name="X8f33ec2cf2a5f7dfebab01bc746d57e0540829b"/>
      <w:r>
        <w:t xml:space="preserve">Section 1B - Benthic Macroinvertebrate Community</w:t>
      </w:r>
      <w:bookmarkEnd w:id="24"/>
    </w:p>
    <w:p>
      <w:pPr>
        <w:jc w:val="center"/>
        <w:pStyle w:val="Figure"/>
      </w:pPr>
      <w:r>
        <w:rPr/>
        <w:drawing>
          <wp:inline distT="0" distB="0" distL="0" distR="0">
            <wp:extent cx="6400800" cy="640080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7"/>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a2a544a4-75bb-4e6e-aafc-2331e01b19ae"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a544a4-75bb-4e6e-aafc-2331e01b19ae"/>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jc w:val="center"/>
        <w:pStyle w:val="Figure"/>
      </w:pPr>
      <w:r>
        <w:rPr/>
        <w:drawing>
          <wp:inline distT="0" distB="0" distL="0" distR="0">
            <wp:extent cx="6400800" cy="640080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68"/>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6290c2de-c506-4e20-b750-c6a9cfae9d0a" w:name="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90c2de-c506-4e20-b750-c6a9cfae9d0a"/>
      <w:r>
        <w:t xml:space="preserve">: </w:t>
      </w:r>
      <w:r>
        <w:t xml:space="preserve">Biological Assessment Profile (BAP) Scores and 95% confidence intervals for benthic macroinvertebrate community assessment data for the Wallkill River Survey, 2017-2019. Symbology corresponds with WI/PWL segmentation as indicated in the plot legend.</w:t>
      </w:r>
    </w:p>
    <w:p>
      <w:pPr>
        <w:pStyle w:val="BodyText"/>
      </w:pPr>
      <w:r>
        <w:t xml:space="preserve">`</w:t>
      </w:r>
      <w:r>
        <w:t xml:space="preserve"> </w:t>
      </w:r>
    </w:p>
    <w:p>
      <w:pPr>
        <w:pStyle w:val="Heading1"/>
      </w:pPr>
      <w:bookmarkStart w:id="25" w:name="Xf902c53d879c4fd4716d1c3c01d5e5616ce6453"/>
      <w:r>
        <w:t xml:space="preserve">Section 1C - Stream Reach Physical Characteristics</w:t>
      </w:r>
      <w:bookmarkEnd w:id="25"/>
    </w:p>
    <w:p>
      <w:pPr>
        <w:pStyle w:val="TableCaption"/>
      </w:pPr>
      <w:r>
        <w:t xml:space="preserve">Table </w:t>
      </w:r>
      <w:bookmarkStart w:id="8a3bdcec-e2a7-4a97-a0a3-9fe8f3e955c2"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3bdcec-e2a7-4a97-a0a3-9fe8f3e955c2"/>
      <w:r>
        <w:t xml:space="preserve">: </w:t>
      </w:r>
      <w:r>
        <w:t xml:space="preserve">Ranked habitat characteristics and calculated HMA for the Wallkill River Survey, 2017-2019.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376"/>
        <w:tblLook w:firstRow="1" w:lastRow="0" w:firstColumn="0" w:lastColumn="0" w:noHBand="0" w:noVBand="1"/>
      </w:tblPr>
      <w:tblGrid>
        <w:gridCol w:w="1152"/>
        <w:gridCol w:w="720"/>
        <w:gridCol w:w="576"/>
        <w:gridCol w:w="720"/>
        <w:gridCol w:w="720"/>
        <w:gridCol w:w="576"/>
        <w:gridCol w:w="576"/>
        <w:gridCol w:w="576"/>
        <w:gridCol w:w="576"/>
        <w:gridCol w:w="720"/>
        <w:gridCol w:w="720"/>
        <w:gridCol w:w="576"/>
        <w:gridCol w:w="576"/>
        <w:gridCol w:w="576"/>
        <w:gridCol w:w="576"/>
        <w:gridCol w:w="576"/>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SITE_ID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Gradient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HMA </w:t>
              <w:br/>
              <w:t xml:space="preserve"> Assess.</w:t>
            </w:r>
          </w:p>
        </w:tc>
      </w:tr>
      <w:tr>
        <w:trPr>
          <w:cantSplit/>
          <w:trHeight w:val="41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Severe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13-POCH-1.8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Severe</w:t>
            </w:r>
          </w:p>
        </w:tc>
      </w:tr>
      <w:tr>
        <w:trPr>
          <w:cantSplit/>
          <w:trHeight w:val="423"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13-RIOG-0.7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13-WCHEE-0.6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13-WALK-46.6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13-MONH-0.4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13-LGUN-6.0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13-GUNK-40.3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13-GUNK-37.7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13-GUNK_T35-0.2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13-MASO-0.2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13-WALK-44.4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Altered</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13-PKIL-0.4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Moderate</w:t>
            </w:r>
          </w:p>
        </w:tc>
      </w:tr>
      <w:tr>
        <w:trPr>
          <w:cantSplit/>
          <w:trHeight w:val="41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13-WALK-2.1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Low</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13-SWAK-1.7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High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Natural</w:t>
            </w:r>
          </w:p>
        </w:tc>
      </w:tr>
    </w:tbl>
    <w:p>
      <w:r>
        <w:br w:type="page"/>
      </w:r>
    </w:p>
    <w:p>
      <w:pPr>
        <w:pStyle w:val="Heading1"/>
      </w:pPr>
      <w:bookmarkStart w:id="26" w:name="section-1d---user-perception"/>
      <w:r>
        <w:t xml:space="preserve">Section 1D - User Perception</w:t>
      </w:r>
      <w:bookmarkEnd w:id="26"/>
    </w:p>
    <w:p>
      <w:pPr>
        <w:jc w:val="center"/>
        <w:pStyle w:val="Figure"/>
      </w:pPr>
      <w:r>
        <w:rPr/>
        <w:drawing>
          <wp:inline distT="0" distB="0" distL="0" distR="0">
            <wp:extent cx="6400800" cy="365760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69"/>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5adaa85f-b82a-4520-aff5-9c851277719c"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adaa85f-b82a-4520-aff5-9c851277719c"/>
      <w:r>
        <w:t xml:space="preserve">: </w:t>
      </w:r>
      <w:r>
        <w:t xml:space="preserve">Mean observer ranking of recreational ability for Wallkill River sampling locations. Columns represent observer rankings for the desire to participate in 1° and 2° contact recreation. Ranking of recreation ability was performed for all locations during each site visit.</w:t>
      </w:r>
    </w:p>
    <w:p>
      <w:r>
        <w:br w:type="page"/>
      </w:r>
    </w:p>
    <w:p>
      <w:pPr>
        <w:pStyle w:val="TableCaption"/>
      </w:pPr>
      <w:r>
        <w:t xml:space="preserve">Table </w:t>
      </w:r>
      <w:bookmarkStart w:id="23d42599-51f7-4b51-b928-f1d847cdbe92"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3d42599-51f7-4b51-b928-f1d847cdbe92"/>
      <w:r>
        <w:t xml:space="preserve">: </w:t>
      </w:r>
      <w:r>
        <w:t xml:space="preserve">Mean observer ranked value for factors influencing desire to participate in 1° and 2° contact recreation in the Wallkill River.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368"/>
        <w:tblLook w:firstRow="1" w:lastRow="0" w:firstColumn="0" w:lastColumn="0" w:noHBand="0" w:noVBand="1"/>
      </w:tblPr>
      <w:tblGrid>
        <w:gridCol w:w="1584"/>
        <w:gridCol w:w="1152"/>
        <w:gridCol w:w="1584"/>
        <w:gridCol w:w="1152"/>
        <w:gridCol w:w="1584"/>
        <w:gridCol w:w="1080"/>
        <w:gridCol w:w="1080"/>
        <w:gridCol w:w="1152"/>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 </w:t>
              <w:br/>
              <w:t xml:space="preserve">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Macrophyte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13-WALK-60.1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13-POCH-1.8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13-RUTG-1.5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13-RIOG-0.7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13-LGUN-6.0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13-GUNK-40.3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13-GUNK-37.7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13-GUNK_T35-0.2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13-MASO-0.2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13-TINW-0.5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13-DWAR-2.0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13-PKIL-0.4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13-WALK-9.8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13-SWAK-1.7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cfc97db2-fba3-4abf-b213-087c6f7b7768"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fc97db2-fba3-4abf-b213-087c6f7b7768"/>
      <w:r>
        <w:t xml:space="preserve">: </w:t>
      </w:r>
      <w:r>
        <w:t xml:space="preserve">Most frequently ranked factor influencing observer desire to participate in 1° and 2° contact recreation in the Wallkill River.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934"/>
        <w:tblLook w:firstRow="1" w:lastRow="0" w:firstColumn="0" w:lastColumn="0" w:noHBand="0" w:noVBand="1"/>
      </w:tblPr>
      <w:tblGrid>
        <w:gridCol w:w="1918"/>
        <w:gridCol w:w="4597"/>
        <w:gridCol w:w="442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SITE_ID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Primary</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Secondary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13-WALK-60.1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13-POCH-1.8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13-RUTG-1.5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 to development roads</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Suspended Phytoplankton, Water clarity</w:t>
            </w:r>
          </w:p>
        </w:tc>
      </w:tr>
      <w:tr>
        <w:trPr>
          <w:cantSplit/>
          <w:trHeight w:val="42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13-RIOG-0.7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 Other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w:t>
            </w:r>
          </w:p>
        </w:tc>
      </w:tr>
      <w:tr>
        <w:trPr>
          <w:cantSplit/>
          <w:trHeight w:val="436"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Periphyton</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13-LGUN-6.0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13-GUNK-40.3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13-GUNK-37.7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 Periphyton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13-GUNK_T35-0.2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13-MASO-0.2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Odor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13-WALK-44.4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 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13-TINW-0.5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Other,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13-DWAR-2.0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 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13-PKIL-0.4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13-WALK-9.8</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r>
      <w:tr>
        <w:trPr>
          <w:cantSplit/>
          <w:trHeight w:val="438"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6"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13-SWAK-1.7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Proximity_to_Development_Roads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13-WALK-0.8</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Water Clarity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Suspended Phytoplankton</w:t>
            </w:r>
          </w:p>
        </w:tc>
      </w:tr>
    </w:tbl>
    <w:p>
      <w:r>
        <w:br w:type="page"/>
      </w:r>
    </w:p>
    <w:p>
      <w:pPr>
        <w:pStyle w:val="Heading1"/>
      </w:pPr>
      <w:bookmarkStart w:id="27" w:name="X8b9f80cff800192340a10c14ae659e213c14d81"/>
      <w:r>
        <w:t xml:space="preserve">Section 1E - Sediment and Porewater Microtox® Analysis</w:t>
      </w:r>
      <w:bookmarkEnd w:id="27"/>
    </w:p>
    <w:p>
      <w:pPr>
        <w:pStyle w:val="FirstParagraph"/>
      </w:pPr>
      <w:r>
        <w:t xml:space="preserve">Toxicity testing of surface waters, sediments, porewaters, and effluents are routinely performed as part of the RIBS program (</w:t>
      </w:r>
      <w:hyperlink r:id="rId28">
        <w:r>
          <w:rPr>
            <w:rStyle w:val="Hyperlink"/>
          </w:rPr>
          <w:t xml:space="preserve">https://www.dec.ny.gov/chemical/29854.html</w:t>
        </w:r>
      </w:hyperlink>
      <w:r>
        <w:t xml:space="preserve">). Sediment toxicity was evaluated according to SOP #403-16 Microtox® Acute Toxicity Test for Sediments, Porewaters and Effluents. Testing procedures use a bioassay to assess potential acute toxicity in sediments and surface waters to aquatic life (SOP #403-16). Sediment and extracted sediment porewater samples are tested using a bioluminescent bacterium Vibrio fischeri (V. fischeri). Tests are a measure of light reduction between collected samples and a control following a 15-minute exposure period and expressed as the median effect concentration (EC50) of a sample that causes a 50% reduction in light emission from the V. fischeri. Appendix X (Fact Sheet: Acute &amp; Chronic Toxicity Assessments of NY Streams &amp; Rivers) describes toxicity testing procedures, Assessment criteria and results classifications.</w:t>
      </w:r>
    </w:p>
    <w:p>
      <w:pPr>
        <w:pStyle w:val="TableCaption"/>
      </w:pPr>
      <w:r>
        <w:t xml:space="preserve">Table </w:t>
      </w:r>
      <w:bookmarkStart w:id="ac652671-3d30-466d-a116-f2867e422d27" w:name="Tox-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652671-3d30-466d-a116-f2867e422d27"/>
      <w:r>
        <w:t xml:space="preserve">: </w:t>
      </w:r>
      <w:r>
        <w:t xml:space="preserve">Wallkill River Microtox® sediment and porewater toxicity results for select locations in the Wallkill River Survey. Sediment samples were collected for toxicity testing in baseflow conditions during macroinvertebrate community collection at 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250"/>
        <w:tblLook w:firstRow="1" w:lastRow="0" w:firstColumn="0" w:lastColumn="0" w:noHBand="0" w:noVBand="1"/>
      </w:tblPr>
      <w:tblGrid>
        <w:gridCol w:w="1767"/>
        <w:gridCol w:w="1571"/>
        <w:gridCol w:w="1728"/>
        <w:gridCol w:w="1728"/>
        <w:gridCol w:w="1728"/>
        <w:gridCol w:w="1728"/>
      </w:tblGrid>
      <w:tr>
        <w:trPr>
          <w:cantSplit/>
          <w:trHeight w:val="454"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Station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Sample 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Assessment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Sediment </w:t>
              <w:br/>
              <w:t xml:space="preserve"> EC50</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Porewater </w:t>
              <w:br/>
              <w:t xml:space="preserve"> EC50</w:t>
            </w:r>
          </w:p>
        </w:tc>
      </w:tr>
      <w:tr>
        <w:trPr>
          <w:cantSplit/>
          <w:trHeight w:val="423"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13-QKER-0.9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78.18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13-WCHEE-0.6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65.38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13-WALK-46.6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Severe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13-MONH-4.1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7/26/2017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13-MONH-0.4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42.21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13-WALK-35.6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13-WALK-29.9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13-WALK-26.9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36.92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69.53</w:t>
            </w:r>
          </w:p>
        </w:tc>
      </w:tr>
      <w:tr>
        <w:trPr>
          <w:cantSplit/>
          <w:trHeight w:val="457"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13-WALK-22.8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13-WALK-19.0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Moderate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37.3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84.11</w:t>
            </w:r>
          </w:p>
        </w:tc>
      </w:tr>
      <w:tr>
        <w:trPr>
          <w:cantSplit/>
          <w:trHeight w:val="414"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13-GUNK-0.4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Toxic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42.67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13-WKLEI-0.6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8/3/2017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Slight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Non-toxic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&gt; 100</w:t>
            </w:r>
          </w:p>
        </w:tc>
      </w:tr>
    </w:tbl>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8" Type="http://schemas.openxmlformats.org/officeDocument/2006/relationships/hyperlink" Target="https://www.dec.ny.gov/chemical/29854.html" TargetMode="External"/><Relationship Id="rId29" Type="http://schemas.openxmlformats.org/officeDocument/2006/relationships/image" Target="media/file32c4655e3d69.png"/><Relationship Id="rId30" Type="http://schemas.openxmlformats.org/officeDocument/2006/relationships/image" Target="media/file32c463916632.png"/><Relationship Id="rId31" Type="http://schemas.openxmlformats.org/officeDocument/2006/relationships/image" Target="media/file32c4206e12.png"/><Relationship Id="rId32" Type="http://schemas.openxmlformats.org/officeDocument/2006/relationships/image" Target="media/file32c4767748f2.png"/><Relationship Id="rId33" Type="http://schemas.openxmlformats.org/officeDocument/2006/relationships/image" Target="media/file32c435c5728.png"/><Relationship Id="rId34" Type="http://schemas.openxmlformats.org/officeDocument/2006/relationships/image" Target="media/file32c462334291.png"/><Relationship Id="rId35" Type="http://schemas.openxmlformats.org/officeDocument/2006/relationships/image" Target="media/file32c478d9416c.png"/><Relationship Id="rId36" Type="http://schemas.openxmlformats.org/officeDocument/2006/relationships/image" Target="media/file32c4745964f8.png"/><Relationship Id="rId37" Type="http://schemas.openxmlformats.org/officeDocument/2006/relationships/image" Target="media/file32c47f446a2b.png"/><Relationship Id="rId38" Type="http://schemas.openxmlformats.org/officeDocument/2006/relationships/image" Target="media/file32c46ab774fc.png"/><Relationship Id="rId39" Type="http://schemas.openxmlformats.org/officeDocument/2006/relationships/image" Target="media/file32c412cf6312.png"/><Relationship Id="rId40" Type="http://schemas.openxmlformats.org/officeDocument/2006/relationships/image" Target="media/file32c467ef8d8.png"/><Relationship Id="rId41" Type="http://schemas.openxmlformats.org/officeDocument/2006/relationships/image" Target="media/file32c44ae45444.png"/><Relationship Id="rId42" Type="http://schemas.openxmlformats.org/officeDocument/2006/relationships/image" Target="media/file32c41b666ada.png"/><Relationship Id="rId43" Type="http://schemas.openxmlformats.org/officeDocument/2006/relationships/image" Target="media/file32c4139544aa.png"/><Relationship Id="rId44" Type="http://schemas.openxmlformats.org/officeDocument/2006/relationships/image" Target="media/file32c4205d145c.png"/><Relationship Id="rId45" Type="http://schemas.openxmlformats.org/officeDocument/2006/relationships/image" Target="media/file32c425e1c8a.png"/><Relationship Id="rId46" Type="http://schemas.openxmlformats.org/officeDocument/2006/relationships/image" Target="media/file32c4585e54f6.png"/><Relationship Id="rId47" Type="http://schemas.openxmlformats.org/officeDocument/2006/relationships/image" Target="media/file32c45532565c.png"/><Relationship Id="rId48" Type="http://schemas.openxmlformats.org/officeDocument/2006/relationships/image" Target="media/file32c444da79f2.png"/><Relationship Id="rId49" Type="http://schemas.openxmlformats.org/officeDocument/2006/relationships/image" Target="media/file32c4562921d9.png"/><Relationship Id="rId50" Type="http://schemas.openxmlformats.org/officeDocument/2006/relationships/image" Target="media/file32c42410a00.png"/><Relationship Id="rId51" Type="http://schemas.openxmlformats.org/officeDocument/2006/relationships/image" Target="media/file32c4629e7d54.png"/><Relationship Id="rId52" Type="http://schemas.openxmlformats.org/officeDocument/2006/relationships/image" Target="media/file32c45530692b.png"/><Relationship Id="rId53" Type="http://schemas.openxmlformats.org/officeDocument/2006/relationships/image" Target="media/file32c45ee3694d.png"/><Relationship Id="rId54" Type="http://schemas.openxmlformats.org/officeDocument/2006/relationships/image" Target="media/file32c447c1790c.png"/><Relationship Id="rId55" Type="http://schemas.openxmlformats.org/officeDocument/2006/relationships/image" Target="media/file32c464491a44.png"/><Relationship Id="rId56" Type="http://schemas.openxmlformats.org/officeDocument/2006/relationships/image" Target="media/file32c47a4093e.png"/><Relationship Id="rId57" Type="http://schemas.openxmlformats.org/officeDocument/2006/relationships/image" Target="media/file32c454e6ccb.png"/><Relationship Id="rId58" Type="http://schemas.openxmlformats.org/officeDocument/2006/relationships/image" Target="media/file32c44c0a2c12.png"/><Relationship Id="rId59" Type="http://schemas.openxmlformats.org/officeDocument/2006/relationships/image" Target="media/file32c45c951fdf.png"/><Relationship Id="rId60" Type="http://schemas.openxmlformats.org/officeDocument/2006/relationships/image" Target="media/file32c4267c4383.png"/><Relationship Id="rId61" Type="http://schemas.openxmlformats.org/officeDocument/2006/relationships/image" Target="media/file32c433d2978.png"/><Relationship Id="rId62" Type="http://schemas.openxmlformats.org/officeDocument/2006/relationships/image" Target="media/file32c441585a6c.png"/><Relationship Id="rId63" Type="http://schemas.openxmlformats.org/officeDocument/2006/relationships/image" Target="media/file32c43457395f.png"/><Relationship Id="rId64" Type="http://schemas.openxmlformats.org/officeDocument/2006/relationships/image" Target="media/file32c466a1df8.png"/><Relationship Id="rId65" Type="http://schemas.openxmlformats.org/officeDocument/2006/relationships/image" Target="media/file32c45faa7e40.png"/><Relationship Id="rId66" Type="http://schemas.openxmlformats.org/officeDocument/2006/relationships/image" Target="media/file32c4586cb5a.png"/><Relationship Id="rId67" Type="http://schemas.openxmlformats.org/officeDocument/2006/relationships/image" Target="media/file32c41759100.png"/><Relationship Id="rId68" Type="http://schemas.openxmlformats.org/officeDocument/2006/relationships/image" Target="media/file32c4412825bf.png"/><Relationship Id="rId69" Type="http://schemas.openxmlformats.org/officeDocument/2006/relationships/image" Target="media/file32c44f202a50.png"/></Relationships>
</file>

<file path=word/_rels/footnotes.xml.rels><?xml version="1.0" encoding="UTF-8" standalone="yes"?>
<Relationships  xmlns="http://schemas.openxmlformats.org/package/2006/relationships"><Relationship Id="rId28" Type="http://schemas.openxmlformats.org/officeDocument/2006/relationships/hyperlink" Target="https://www.dec.ny.gov/chemical/29854.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Wallkill Reporting Draft</dc:title>
  <dc:creator>NYSDEC SMAS</dc:creator>
  <cp:keywords/>
  <dcterms:created xsi:type="dcterms:W3CDTF">2020-12-21T23:18:54Z</dcterms:created>
  <dcterms:modified xsi:type="dcterms:W3CDTF">2020-12-21T18:19:02Z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2020-12-21</vt:lpwstr>
  </property>
  <property fmtid="{D5CDD505-2E9C-101B-9397-08002B2CF9AE}" pid="3" name="output">
    <vt:lpwstr/>
  </property>
</Properties>
</file>