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2020-12-30</w:t>
      </w:r>
    </w:p>
    <w:p>
      <w:r>
        <w:br w:type="page"/>
      </w:r>
    </w:p>
    <w:p>
      <w:pPr>
        <w:pStyle w:val="Heading1"/>
      </w:pPr>
      <w:bookmarkStart w:id="20" w:name="section-1---background"/>
      <w:r>
        <w:t xml:space="preserve">Section 1 - Background</w:t>
      </w:r>
      <w:bookmarkEnd w:id="20"/>
    </w:p>
    <w:p>
      <w:pPr>
        <w:pStyle w:val="FirstParagraph"/>
      </w:pPr>
      <w:r>
        <w:t xml:space="preserve">The Wallkill River flows approximately 90 miles north and drains approximately 760 square miles throughout New York State (NYS) and northern New Jersey. In NYS alone, the Wallkill flows approximately 66 miles and drains 552 square miles across 48 municipalities. With only the Mohawk River larger, the combined watersheds of the Wallkill and Rondout Creek form the second largest tributary to the lower Hudson River. With a highly complex and variable land use coverage across the basin, agriculture, urban stormwater, and wastewater treatment facilities (WWTF) drive water quality concerns related to nutrients, algal blooms, and low dissolved oxygen.</w:t>
      </w:r>
      <w:r>
        <w:t xml:space="preserve"> </w:t>
      </w:r>
      <w:r>
        <w:t xml:space="preserve">|</w:t>
      </w:r>
      <w:r>
        <w:br w:type="textWrapping"/>
      </w:r>
      <w:r>
        <w:t xml:space="preserve">Between 2017 and 2019, a Stream Assessment Survey was conducted by the Rotating Integrated Basin Studies (RIBS) Program throughout the mainstem Wallkill and its tributaries (Figure 1). The RIBS Program operates on a five-year, rotational schedule to generate statewide water quality data in support of the Waterbody Inventory/Priority Waterbody List (WI/PWL) towards the goal of protection and restoration of water quality resources (RIBS QAPP, 2017-2019). The RIBS Program also conducts special surveys outside of this five-year cycle to support Department-initiated priorities related to water quality (RIBS QAPP, 2017-2019). The objectives of the Wallkill watershed survey were to 1) update condition assessments for Waterbody Inventory/Priority Waterbody List (WI/PWL) segments throughout the basin, 2) identify areas of elevated nutrient concentrations, 3) assess biological community condition and, 4) collect data to inform watershed planning efforts to mitigate nutrient impacts.</w:t>
      </w:r>
      <w:r>
        <w:br w:type="textWrapping"/>
      </w:r>
      <w:r>
        <w:t xml:space="preserve">|</w:t>
      </w:r>
      <w:r>
        <w:br w:type="textWrapping"/>
      </w:r>
      <w:r>
        <w:t xml:space="preserve">To characterize the Wallkill watershed, Bureau of Water Assessment and Management’s Stream Monitoring and Assessment Section (SMAS), Hudson River Estuary Program, and participants in the Professional External Evaluations of Rivers and Streams (PEERS) Program collected several measures of water quality at each of the 39 sampling locations locations (10 on mainstem, 29 on tributaries) across 19 WI/PWL segments between the months of July and October during 2017, 2018, and 2019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Measures of water and habitat quality included:</w:t>
      </w:r>
      <w:r>
        <w:br w:type="textWrapping"/>
      </w:r>
      <w:r>
        <w:t xml:space="preserve">1. Water Chemistry and Stream Discharge</w:t>
      </w:r>
      <w:r>
        <w:br w:type="textWrapping"/>
      </w:r>
      <w:r>
        <w:t xml:space="preserve">2. Benthic Macroinvertebrate Community</w:t>
      </w:r>
      <w:r>
        <w:br w:type="textWrapping"/>
      </w:r>
      <w:r>
        <w:t xml:space="preserve">3. Stream Reach Physical Habitat Characteristics</w:t>
      </w:r>
      <w:r>
        <w:br w:type="textWrapping"/>
      </w:r>
      <w:r>
        <w:t xml:space="preserve">4. Observer Ranking of Recreational Ability</w:t>
      </w:r>
      <w:r>
        <w:br w:type="textWrapping"/>
      </w:r>
      <w:r>
        <w:t xml:space="preserve">5. Sediment and Porewater Microtox Analysis</w:t>
      </w:r>
    </w:p>
    <w:p>
      <w:pPr>
        <w:pStyle w:val="BodyText"/>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719002db-e7b9-4c6f-884d-334671b62430"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9002db-e7b9-4c6f-884d-334671b62430"/>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87"/>
        <w:tblLook w:firstRow="1" w:lastRow="0" w:firstColumn="0" w:lastColumn="0" w:noHBand="0" w:noVBand="1"/>
      </w:tblPr>
      <w:tblGrid>
        <w:gridCol w:w="1440"/>
        <w:gridCol w:w="1440"/>
        <w:gridCol w:w="864"/>
        <w:gridCol w:w="864"/>
        <w:gridCol w:w="1152"/>
        <w:gridCol w:w="6480"/>
        <w:gridCol w:w="864"/>
        <w:gridCol w:w="864"/>
        <w:gridCol w:w="1119"/>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Sampler</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LIBERTY CORNERS ROAD/PINE ISLAND TPKE IN PINE ISLAND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41.29801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-74.47060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1 IN WESTTOWN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41.34120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-74.54362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13-RIOG_T1-0.8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 AT HERTIAGE TRAIL IN GOSHEN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-74.34147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UPSTREAM OF SILVER LAKE IN MIDDLETOWN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41.46532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-74.38695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13-TINW_T3-2.1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BEREA ROAD CROSSING IN WALDEN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41.53659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-74.17153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NEAR ROUTE 52/ROUTE 85 INTERSECTION IN WALDEN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41.55868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-74.15782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MILL BROOK AT HUGENOT STREET IN NEW PALTZ</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41.76295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-74.08449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SAW MILL BROOK AT SOJOURNER TRUTH BOAT LAUNCH IN NEW PALTZ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41.74327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44 IN MODENA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41.67009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-74.11449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sturgeon_pool_epilimnion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sturgeon_pool_hypolimnion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77c4fd25-7b15-4677-8a30-5960576452fc"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c4fd25-7b15-4677-8a30-5960576452fc"/>
      <w:r>
        <w:t xml:space="preserve">: </w:t>
      </w:r>
      <w:r>
        <w:t xml:space="preserve">Map of Wallkill River (WALK) sampling locations. Site names reference the Location ID and River Mile presented in the sites table.</w:t>
      </w:r>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water-chemistry-methdology"/>
      <w:r>
        <w:t xml:space="preserve">Water Chemistry Methdology</w:t>
      </w:r>
      <w:bookmarkEnd w:id="22"/>
    </w:p>
    <w:p>
      <w:pPr>
        <w:pStyle w:val="FirstParagraph"/>
      </w:pPr>
      <w:r>
        <w:t xml:space="preserve">SMAS and HREP</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PEERS</w:t>
      </w:r>
    </w:p>
    <w:p>
      <w:pPr>
        <w:pStyle w:val="BodyText"/>
      </w:pPr>
      <w:r>
        <w:t xml:space="preserve">Methods used for water chemistry data collection are described by NYSDEC standard operating procedures (SOP). The collection of water chemistry samples followed procedures described in SOP #210-18 Collection of Water Column Samples for the Rotating Integrated Basin Studies (RIBS) Program. Water chemistry samples were collected using the direct grab method (SOP #210-18, section 11.6). Water samples were processed using a contract lab with NYS Environmental Laboratory Approval Program (ELAP) certification. No discharge was collected at these locations.</w:t>
      </w:r>
    </w:p>
    <w:p>
      <w:pPr>
        <w:pStyle w:val="BodyText"/>
      </w:pPr>
      <w:r>
        <w:t xml:space="preserve">For samples collected by SMAS and HREP, 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The collection of water chemistry samples and stream discharge spanned three years (2017, 2018, 2019), included 39 sampling locations, and covered a range of stream flow conditions. PEERS sampling was conducted during 2018 only and included a reduced suite of water quality analytes at nine sampling locations to broaden sampling coverage. Locations were generally sampled eight times with the exception of PEERS sites which were sampled five times. 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Wallkill River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c137280a-e2ef-4b0f-8517-4750daa15415"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37280a-e2ef-4b0f-8517-4750daa15415"/>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Indicates sampling performed as part of PEERS suite.</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2"/>
      </w:pPr>
      <w:bookmarkStart w:id="23" w:name="exceedances-of-water-quality-standards"/>
      <w:r>
        <w:t xml:space="preserve">Exceedances of Water Quality Standards</w:t>
      </w:r>
      <w:bookmarkEnd w:id="23"/>
    </w:p>
    <w:p>
      <w:pPr>
        <w:pStyle w:val="FirstParagraph"/>
      </w:pPr>
      <w:r>
        <w:t xml:space="preserve">Exceedances of water quality standards occurred in 15 of 21 WI/PWL segments. A total of 32 lab-measured, and 6 in situ water quality analytes, were analyzed and out of the 6101 lab-measured records and 1475 in situ water quality records, there were 72 exceedances of established water quality standards (6 NYCRR Part 703). There were exceedances in Dissolved Oxygen, PH, Total Dissolved Solids, Iron. Chloride and nutrient concentrations across the Wallkill watershed were generally elevated relative to statewide data concentrations.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Plots illustrating the range of analyte concentration values within each WI/PWL segments from both mainstem and tributaries, are included in this report (Figure</w:t>
      </w:r>
      <w:hyperlink w:anchor="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chemgraphs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hyperlink w:anchor="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insituChem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from upstream to downstream. Locations on a WI/PWL tributary segments are inserted between mainstem WI/PWL segments. The total number of values represented for each WI/PWL segment can vary due to non-detection and QA/QC procedures. Descriptions of removed records are presented in Appendix III. Analytes selected for presentation were subset to those of specific interest to the study. Therefore, the analytes presented here include: Chloride; Chlorophyll-a; inorganic nitrogen (NO2+NO3); organic nitrogen (Total Kjeldahl Nitrogen); Total Phosphorus; Total Dissolved Solids; Dissolved Oxygen (in situ), Temperature (in situ), Conductance (in situ) and pH (in situ). To provide context, each figure contains lines representing the 25th, 75th, and 95th percentiles of each analyte collected statewide by SMAS from 2001 to 2019. Exceedance within a PWL segment are indicated by an asterisk. Site specific exceedances are quantified in Section II.</w:t>
      </w:r>
    </w:p>
    <w:p>
      <w:pPr>
        <w:jc w:val="center"/>
        <w:pStyle w:val="Figure"/>
      </w:pPr>
      <w:r>
        <w:rPr/>
        <w:drawing>
          <wp:inline distT="0" distB="0" distL="0" distR="0">
            <wp:extent cx="73152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6283a088-ad61-47c1-9fc9-b9c38d0f0d63"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83a088-ad61-47c1-9fc9-b9c38d0f0d63"/>
      <w:r>
        <w:t xml:space="preserve">: </w:t>
      </w:r>
      <w:r>
        <w:t xml:space="preserve">Nitrate+Nitrite,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2"/>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378c0f5c-537f-49a4-90ba-e52a3e96a285"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78c0f5c-537f-49a4-90ba-e52a3e96a285"/>
      <w:r>
        <w:t xml:space="preserve">: </w:t>
      </w:r>
      <w:r>
        <w:t xml:space="preserve">Chlorophyll A,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3"/>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18d2fc2c-fc2a-4914-9fa5-cfe83c75ee1b"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d2fc2c-fc2a-4914-9fa5-cfe83c75ee1b"/>
      <w:r>
        <w:t xml:space="preserve">: </w:t>
      </w:r>
      <w:r>
        <w:t xml:space="preserve">Total Phosphorus,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27058326-838a-4fd6-b545-ad40b1b3ef82"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7058326-838a-4fd6-b545-ad40b1b3ef82"/>
      <w:r>
        <w:t xml:space="preserve">: </w:t>
      </w:r>
      <w:r>
        <w:t xml:space="preserve">Total Kjeldahl Nitrogen,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5"/>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e1fcc944-85ee-4f4c-a069-cfe0cd2eaeba"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fcc944-85ee-4f4c-a069-cfe0cd2eaeba"/>
      <w:r>
        <w:t xml:space="preserve">: </w:t>
      </w:r>
      <w:r>
        <w:t xml:space="preserve">Chloride,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6"/>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1261d4bc-8cc4-469c-a2f5-125f38720fd2" w:name="chemgraph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261d4bc-8cc4-469c-a2f5-125f38720fd2"/>
      <w:r>
        <w:t xml:space="preserve">: </w:t>
      </w:r>
      <w:r>
        <w:t xml:space="preserve">Total Dissolved Solids, The X-axis presents WI/PWL ID of the sampling locations from upstream to downstream.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7"/>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474acb8f-b347-44cb-8fa5-6e48abb464e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4acb8f-b347-44cb-8fa5-6e48abb464ee"/>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8"/>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9736137a-1c6b-4f3c-a110-a91c6d576ca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736137a-1c6b-4f3c-a110-a91c6d576ca8"/>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9"/>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721800bd-9b94-4ddd-a332-d72750c6238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1800bd-9b94-4ddd-a332-d72750c62382"/>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0"/>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437a63a3-6a94-4f25-b5f6-8095bd17de8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37a63a3-6a94-4f25-b5f6-8095bd17de81"/>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1"/>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bb561e9d-3f74-459b-93be-a25c30da70b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b561e9d-3f74-459b-93be-a25c30da70b8"/>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pPr>
        <w:jc w:val="center"/>
        <w:pStyle w:val="Figure"/>
      </w:pPr>
      <w:r>
        <w:rPr/>
        <w:drawing>
          <wp:inline distT="0" distB="0" distL="0" distR="0">
            <wp:extent cx="73152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2"/>
                    <a:srcRect/>
                    <a:stretch>
                      <a:fillRect/>
                    </a:stretch>
                  </pic:blipFill>
                  <pic:spPr bwMode="auto">
                    <a:xfrm>
                      <a:off x="0" y="0"/>
                      <a:ext cx="101600" cy="76200"/>
                    </a:xfrm>
                    <a:prstGeom prst="rect">
                      <a:avLst/>
                    </a:prstGeom>
                    <a:noFill/>
                  </pic:spPr>
                </pic:pic>
              </a:graphicData>
            </a:graphic>
          </wp:inline>
        </w:drawing>
      </w:r>
    </w:p>
    <w:p>
      <w:pPr>
        <w:pStyle w:val="ImageCaption"/>
      </w:pPr>
      <w:r>
        <w:t xml:space="preserve">Figure </w:t>
      </w:r>
      <w:bookmarkStart w:id="4646576b-165f-4578-bd59-a0cb85884e1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646576b-165f-4578-bd59-a0cb85884e15"/>
      <w:r>
        <w:t xml:space="preserve">: </w:t>
      </w:r>
      <w:r>
        <w:t xml:space="preserve">Percent Saturation, The X-axis presents WI/PWL ID of the sampling locations from upstream to downstream and axis labels correspond with Table 1, Figure 1 and Figure 2. Color of the box represents the location of the WI/WPL in the watershed as indicated in the plot legend. Stars at the bottom of the graph indicate an exceedance of a WQS in that PWL segment</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27" name="Picture"/>
            <a:graphic>
              <a:graphicData uri="http://schemas.openxmlformats.org/drawingml/2006/picture">
                <pic:pic>
                  <pic:nvPicPr>
                    <pic:cNvPr descr="bap.jpg" id="28"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5943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88900" cy="82550"/>
                    </a:xfrm>
                    <a:prstGeom prst="rect">
                      <a:avLst/>
                    </a:prstGeom>
                    <a:noFill/>
                  </pic:spPr>
                </pic:pic>
              </a:graphicData>
            </a:graphic>
          </wp:inline>
        </w:drawing>
      </w:r>
    </w:p>
    <w:p>
      <w:pPr>
        <w:pStyle w:val="ImageCaption"/>
      </w:pPr>
      <w:r>
        <w:t xml:space="preserve">Figure </w:t>
      </w:r>
      <w:bookmarkStart w:id="143a18b9-11fa-458c-894e-81c599dc2318"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3a18b9-11fa-458c-894e-81c599dc2318"/>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1306-0061, 1306-0074, 1306-0059, 1306-0048, 1306-0047, 1306-0038, 1306-0027 (Figure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 1306-0017, 1306-0078, 1306-0074, 1306-0048, 1306-0038, 1306-0027.</w:t>
      </w:r>
    </w:p>
    <w:p>
      <w:pPr>
        <w:pStyle w:val="BodyText"/>
      </w:pPr>
      <w:r>
        <w:t xml:space="preserve">`</w:t>
      </w:r>
      <w:r>
        <w:t xml:space="preserve"> </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(n=15), altered (n=5), moderate (n=8), severe (n=2).</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a34c1332-b431-4ef7-b523-2acfa03ceb86"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34c1332-b431-4ef7-b523-2acfa03ceb86"/>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561"/>
        <w:tblLook w:firstRow="1" w:lastRow="0" w:firstColumn="0" w:lastColumn="0" w:noHBand="0" w:noVBand="1"/>
      </w:tblPr>
      <w:tblGrid>
        <w:gridCol w:w="649"/>
        <w:gridCol w:w="934"/>
        <w:gridCol w:w="574"/>
        <w:gridCol w:w="700"/>
        <w:gridCol w:w="829"/>
        <w:gridCol w:w="847"/>
        <w:gridCol w:w="705"/>
        <w:gridCol w:w="767"/>
        <w:gridCol w:w="678"/>
        <w:gridCol w:w="656"/>
        <w:gridCol w:w="794"/>
        <w:gridCol w:w="807"/>
        <w:gridCol w:w="656"/>
        <w:gridCol w:w="647"/>
        <w:gridCol w:w="860"/>
        <w:gridCol w:w="874"/>
        <w:gridCol w:w="758"/>
        <w:gridCol w:w="829"/>
      </w:tblGrid>
      <w:tr>
        <w:trPr>
          <w:cantSplit/>
          <w:trHeight w:val="182"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SITE_ID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8"/>
                <w:szCs w:val="8"/>
                <w:color w:val="111111"/>
              </w:rPr>
              <w:t xml:space="preserve">HMA </w:t>
              <w:br/>
              <w:t xml:space="preserve"> Assess.</w:t>
            </w:r>
          </w:p>
        </w:tc>
      </w:tr>
      <w:tr>
        <w:trPr>
          <w:cantSplit/>
          <w:trHeight w:val="16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59.7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Severe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79.6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Severe</w:t>
            </w:r>
          </w:p>
        </w:tc>
      </w:tr>
      <w:tr>
        <w:trPr>
          <w:cantSplit/>
          <w:trHeight w:val="16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13-QKER-0.9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67.1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1306-0061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13-RIOG-0.7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76.2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1306-0059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13-LGUN-6.0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13-GUNK-40.3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63.0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13-GUNK-37.7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13-GUNK_T35-0.2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1306-0072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13-MASO-0.2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13-WALK-44.4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66.3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Altered</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87.0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84.5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1306-0042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13-WKLEI-0.6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61.1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Moderate</w:t>
            </w:r>
          </w:p>
        </w:tc>
      </w:tr>
      <w:tr>
        <w:trPr>
          <w:cantSplit/>
          <w:trHeight w:val="165"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Low</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r>
        <w:trPr>
          <w:cantSplit/>
          <w:trHeight w:val="181"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15.5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18.5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7.5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91.2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111111"/>
              </w:rPr>
              <w:t xml:space="preserve">Natural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jc w:val="center"/>
        <w:pStyle w:val="Figure"/>
      </w:pPr>
      <w:r>
        <w:rPr/>
        <w:drawing>
          <wp:inline distT="0" distB="0" distL="0" distR="0">
            <wp:extent cx="64008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4d17abe9-1755-4ace-abc7-fd40ce4de78b"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17abe9-1755-4ace-abc7-fd40ce4de78b"/>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d0b5e9a6-3d11-4c36-97e2-954061f78881"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b5e9a6-3d11-4c36-97e2-954061f78881"/>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SH_PWL_ID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Macrophyte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9d268ba3-4bc3-4550-af05-1efd51297189"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d268ba3-4bc3-4550-af05-1efd51297189"/>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18"/>
        <w:tblLook w:firstRow="1" w:lastRow="0" w:firstColumn="0" w:lastColumn="0" w:noHBand="0" w:noVBand="1"/>
      </w:tblPr>
      <w:tblGrid>
        <w:gridCol w:w="967"/>
        <w:gridCol w:w="1274"/>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13-WALK-9.8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p>
      <w:r>
        <w:br w:type="page"/>
      </w:r>
    </w:p>
    <w:p>
      <w:pPr>
        <w:pStyle w:val="Heading1"/>
      </w:pPr>
      <w:bookmarkStart w:id="28" w:name="X8b9f80cff800192340a10c14ae659e213c14d81"/>
      <w:r>
        <w:t xml:space="preserve">Section 1E - Sediment and Porewater Microtox® Analysis</w:t>
      </w:r>
      <w:bookmarkEnd w:id="28"/>
    </w:p>
    <w:p>
      <w:pPr>
        <w:pStyle w:val="FirstParagraph"/>
      </w:pPr>
      <w:r>
        <w:t xml:space="preserve">Toxicity testing of surface waters, sediments, porewaters, and effluents are routinely performed as part of the RIBS program (</w:t>
      </w:r>
      <w:hyperlink r:id="rId29">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BodyText"/>
      </w:pPr>
      <w:r>
        <w:t xml:space="preserve">Results from Microtox® Acute Toxicity Test for Sediments, Porewaters and Effluents collected in 2017 are found in (Table</w:t>
      </w:r>
      <w:hyperlink w:anchor="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Tox-table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Wallkill Watershed, sediments ranged from non-toxic to severe and porewaters ranged from non-toxic to toxic.</w:t>
      </w:r>
    </w:p>
    <w:p>
      <w:pPr>
        <w:pStyle w:val="TableCaption"/>
      </w:pPr>
      <w:r>
        <w:t xml:space="preserve">Table </w:t>
      </w:r>
      <w:bookmarkStart w:id="bf1549a7-f0ad-4e4f-9421-c71b2c7ee1fb"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f1549a7-f0ad-4e4f-9421-c71b2c7ee1fb"/>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52"/>
        <w:tblLook w:firstRow="1" w:lastRow="0" w:firstColumn="0" w:lastColumn="0" w:noHBand="0" w:noVBand="1"/>
      </w:tblPr>
      <w:tblGrid>
        <w:gridCol w:w="1463"/>
        <w:gridCol w:w="1927"/>
        <w:gridCol w:w="1728"/>
        <w:gridCol w:w="1728"/>
        <w:gridCol w:w="1728"/>
        <w:gridCol w:w="1728"/>
        <w:gridCol w:w="2251"/>
      </w:tblGrid>
      <w:tr>
        <w:trPr>
          <w:cantSplit/>
          <w:trHeight w:val="455"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1306-0074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23"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1306-0025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1306-0061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1306-0042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anchor distT="0" distB="0" distL="114300" distR="114300" simplePos="0" relativeHeight="251658240" behindDoc="0" locked="0" layoutInCell="1" allowOverlap="1" wp14:anchorId="773B9460" wp14:editId="025AED34">
          <wp:simplePos x="0" y="0"/>
          <wp:positionH relativeFrom="margin">
            <wp:posOffset>-144780</wp:posOffset>
          </wp:positionH>
          <wp:positionV relativeFrom="topMargin">
            <wp:align>bottom</wp:align>
          </wp:positionV>
          <wp:extent cx="1554480" cy="716280"/>
          <wp:effectExtent l="0" t="0" r="7620" b="7620"/>
          <wp:wrapSquare wrapText="bothSides"/>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9" Type="http://schemas.openxmlformats.org/officeDocument/2006/relationships/hyperlink" Target="https://www.dec.ny.gov/chemical/29854.html" TargetMode="External"/><Relationship Id="rId30" Type="http://schemas.openxmlformats.org/officeDocument/2006/relationships/image" Target="media/file30705ce37cdc.png"/><Relationship Id="rId31" Type="http://schemas.openxmlformats.org/officeDocument/2006/relationships/image" Target="media/file307071917fbd.png"/><Relationship Id="rId32" Type="http://schemas.openxmlformats.org/officeDocument/2006/relationships/image" Target="media/file307074d7635b.png"/><Relationship Id="rId33" Type="http://schemas.openxmlformats.org/officeDocument/2006/relationships/image" Target="media/file307054fe15c7.png"/><Relationship Id="rId34" Type="http://schemas.openxmlformats.org/officeDocument/2006/relationships/image" Target="media/file30704339ab3.png"/><Relationship Id="rId35" Type="http://schemas.openxmlformats.org/officeDocument/2006/relationships/image" Target="media/file30706f8131a9.png"/><Relationship Id="rId36" Type="http://schemas.openxmlformats.org/officeDocument/2006/relationships/image" Target="media/file3070486f66f0.png"/><Relationship Id="rId37" Type="http://schemas.openxmlformats.org/officeDocument/2006/relationships/image" Target="media/file30706d47c7f.png"/><Relationship Id="rId38" Type="http://schemas.openxmlformats.org/officeDocument/2006/relationships/image" Target="media/file30704b1a23b7.png"/><Relationship Id="rId39" Type="http://schemas.openxmlformats.org/officeDocument/2006/relationships/image" Target="media/file30702bb5b8.png"/><Relationship Id="rId40" Type="http://schemas.openxmlformats.org/officeDocument/2006/relationships/image" Target="media/file30703e4878a.png"/><Relationship Id="rId41" Type="http://schemas.openxmlformats.org/officeDocument/2006/relationships/image" Target="media/file307024dc6078.png"/><Relationship Id="rId42" Type="http://schemas.openxmlformats.org/officeDocument/2006/relationships/image" Target="media/file307057ec1c48.png"/><Relationship Id="rId43" Type="http://schemas.openxmlformats.org/officeDocument/2006/relationships/image" Target="media/file307072d1303a.png"/><Relationship Id="rId44" Type="http://schemas.openxmlformats.org/officeDocument/2006/relationships/image" Target="media/file30706b8b40f3.png"/></Relationships>
</file>

<file path=word/_rels/footnotes.xml.rels><?xml version="1.0" encoding="UTF-8" standalone="yes"?>
<Relationships  xmlns="http://schemas.openxmlformats.org/package/2006/relationships"><Relationship Id="rId29"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2020-12-30T21:32:28Z</dcterms:created>
  <dcterms:modified xsi:type="dcterms:W3CDTF">2020-12-30T16:32:36Z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2020-12-30</vt:lpwstr>
  </property>
  <property fmtid="{D5CDD505-2E9C-101B-9397-08002B2CF9AE}" pid="3" name="output">
    <vt:lpwstr/>
  </property>
</Properties>
</file>